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88996D" w14:textId="77777777" w:rsidR="002C624C" w:rsidRDefault="002C624C" w:rsidP="002C624C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Defining Study Design Terminology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2A728AAB" w14:textId="77777777" w:rsidR="002C624C" w:rsidRDefault="002C624C" w:rsidP="002C624C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These are terms you will find in clinical studies. Match the term with the definition.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073E9213" w14:textId="7C1E88A5" w:rsidR="002C624C" w:rsidRDefault="002C624C" w:rsidP="002C624C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Part</w:t>
      </w:r>
      <w:r>
        <w:rPr>
          <w:rStyle w:val="normaltextrun"/>
          <w:rFonts w:ascii="Calibri" w:hAnsi="Calibri" w:cs="Calibri"/>
          <w:sz w:val="22"/>
          <w:szCs w:val="22"/>
        </w:rPr>
        <w:t xml:space="preserve"> 1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06768F1D" w14:textId="77777777" w:rsidR="002C624C" w:rsidRDefault="002C624C" w:rsidP="002C624C">
      <w:pPr>
        <w:pStyle w:val="paragraph"/>
        <w:numPr>
          <w:ilvl w:val="0"/>
          <w:numId w:val="1"/>
        </w:numPr>
        <w:spacing w:before="0" w:beforeAutospacing="0" w:after="0" w:afterAutospacing="0"/>
        <w:ind w:left="1080" w:firstLine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b/>
          <w:bCs/>
          <w:sz w:val="22"/>
          <w:szCs w:val="22"/>
        </w:rPr>
        <w:t>Null hypothesis</w:t>
      </w:r>
      <w:r>
        <w:rPr>
          <w:rStyle w:val="normaltextrun"/>
          <w:rFonts w:ascii="Calibri" w:hAnsi="Calibri" w:cs="Calibri"/>
          <w:sz w:val="22"/>
          <w:szCs w:val="22"/>
        </w:rPr>
        <w:t xml:space="preserve"> – that the relationship between the independent and dependent variables the researchers believe they will prove through conducting a study does not exist 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0D5D0575" w14:textId="77777777" w:rsidR="002C624C" w:rsidRDefault="002C624C" w:rsidP="002C624C">
      <w:pPr>
        <w:pStyle w:val="paragraph"/>
        <w:numPr>
          <w:ilvl w:val="0"/>
          <w:numId w:val="2"/>
        </w:numPr>
        <w:spacing w:before="0" w:beforeAutospacing="0" w:after="0" w:afterAutospacing="0"/>
        <w:ind w:left="1080" w:firstLine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b/>
          <w:bCs/>
          <w:sz w:val="22"/>
          <w:szCs w:val="22"/>
        </w:rPr>
        <w:t>Prospective studies</w:t>
      </w:r>
      <w:r>
        <w:rPr>
          <w:rStyle w:val="normaltextrun"/>
          <w:rFonts w:ascii="Calibri" w:hAnsi="Calibri" w:cs="Calibri"/>
          <w:sz w:val="22"/>
          <w:szCs w:val="22"/>
        </w:rPr>
        <w:t xml:space="preserve"> – study that moves forward in time, or that the outcomes are being observed as they occur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44A71CA4" w14:textId="77777777" w:rsidR="002C624C" w:rsidRDefault="002C624C" w:rsidP="002C624C">
      <w:pPr>
        <w:pStyle w:val="paragraph"/>
        <w:numPr>
          <w:ilvl w:val="0"/>
          <w:numId w:val="3"/>
        </w:numPr>
        <w:spacing w:before="0" w:beforeAutospacing="0" w:after="0" w:afterAutospacing="0"/>
        <w:ind w:left="1080" w:firstLine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b/>
          <w:bCs/>
          <w:sz w:val="22"/>
          <w:szCs w:val="22"/>
        </w:rPr>
        <w:t>Research hypothesis</w:t>
      </w:r>
      <w:r>
        <w:rPr>
          <w:rStyle w:val="normaltextrun"/>
          <w:rFonts w:ascii="Calibri" w:hAnsi="Calibri" w:cs="Calibri"/>
          <w:sz w:val="22"/>
          <w:szCs w:val="22"/>
        </w:rPr>
        <w:t xml:space="preserve"> – relationship between the independent and dependent variables that researchers believe they will prove through conducting a study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5A028FD3" w14:textId="77777777" w:rsidR="002C624C" w:rsidRDefault="002C624C" w:rsidP="002C624C">
      <w:pPr>
        <w:pStyle w:val="paragraph"/>
        <w:numPr>
          <w:ilvl w:val="0"/>
          <w:numId w:val="4"/>
        </w:numPr>
        <w:spacing w:before="0" w:beforeAutospacing="0" w:after="0" w:afterAutospacing="0"/>
        <w:ind w:left="1080" w:firstLine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b/>
          <w:bCs/>
          <w:sz w:val="22"/>
          <w:szCs w:val="22"/>
        </w:rPr>
        <w:t>Longitudinal studies</w:t>
      </w:r>
      <w:r>
        <w:rPr>
          <w:rStyle w:val="normaltextrun"/>
          <w:rFonts w:ascii="Calibri" w:hAnsi="Calibri" w:cs="Calibri"/>
          <w:sz w:val="22"/>
          <w:szCs w:val="22"/>
        </w:rPr>
        <w:t xml:space="preserve"> – studies in which variables relating to an individual or group of individuals are assessed over a period of time.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2F548019" w14:textId="77777777" w:rsidR="002C624C" w:rsidRDefault="002C624C" w:rsidP="002C624C">
      <w:pPr>
        <w:pStyle w:val="paragraph"/>
        <w:numPr>
          <w:ilvl w:val="0"/>
          <w:numId w:val="5"/>
        </w:numPr>
        <w:spacing w:before="0" w:beforeAutospacing="0" w:after="0" w:afterAutospacing="0"/>
        <w:ind w:left="1080" w:firstLine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b/>
          <w:bCs/>
          <w:sz w:val="22"/>
          <w:szCs w:val="22"/>
        </w:rPr>
        <w:t>Qualitative studies</w:t>
      </w:r>
      <w:r>
        <w:rPr>
          <w:rStyle w:val="normaltextrun"/>
          <w:rFonts w:ascii="Calibri" w:hAnsi="Calibri" w:cs="Calibri"/>
          <w:sz w:val="22"/>
          <w:szCs w:val="22"/>
        </w:rPr>
        <w:t xml:space="preserve"> – research that derives data from observation, interviews, or verbal interactions and focuses on the meanings and interpretations of the participants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57C30EE1" w14:textId="77777777" w:rsidR="002C624C" w:rsidRDefault="002C624C" w:rsidP="002C624C">
      <w:pPr>
        <w:pStyle w:val="paragraph"/>
        <w:numPr>
          <w:ilvl w:val="0"/>
          <w:numId w:val="6"/>
        </w:numPr>
        <w:spacing w:before="0" w:beforeAutospacing="0" w:after="0" w:afterAutospacing="0"/>
        <w:ind w:left="1080" w:firstLine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b/>
          <w:bCs/>
          <w:sz w:val="22"/>
          <w:szCs w:val="22"/>
        </w:rPr>
        <w:t>Quantitative studies</w:t>
      </w:r>
      <w:r>
        <w:rPr>
          <w:rStyle w:val="normaltextrun"/>
          <w:rFonts w:ascii="Calibri" w:hAnsi="Calibri" w:cs="Calibri"/>
          <w:sz w:val="22"/>
          <w:szCs w:val="22"/>
        </w:rPr>
        <w:t xml:space="preserve"> – research that uses numerical analysis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711EB8BC" w14:textId="77777777" w:rsidR="002C624C" w:rsidRDefault="002C624C" w:rsidP="002C624C">
      <w:pPr>
        <w:pStyle w:val="paragraph"/>
        <w:numPr>
          <w:ilvl w:val="0"/>
          <w:numId w:val="7"/>
        </w:numPr>
        <w:spacing w:before="0" w:beforeAutospacing="0" w:after="0" w:afterAutospacing="0"/>
        <w:ind w:left="1080" w:firstLine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b/>
          <w:bCs/>
          <w:sz w:val="22"/>
          <w:szCs w:val="22"/>
        </w:rPr>
        <w:t>Cohort</w:t>
      </w:r>
      <w:r>
        <w:rPr>
          <w:rStyle w:val="normaltextrun"/>
          <w:rFonts w:ascii="Calibri" w:hAnsi="Calibri" w:cs="Calibri"/>
          <w:sz w:val="22"/>
          <w:szCs w:val="22"/>
        </w:rPr>
        <w:t xml:space="preserve"> – a group that shares the same characteristics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42A1ECD2" w14:textId="77777777" w:rsidR="002C624C" w:rsidRDefault="002C624C" w:rsidP="002C624C">
      <w:pPr>
        <w:pStyle w:val="paragraph"/>
        <w:numPr>
          <w:ilvl w:val="0"/>
          <w:numId w:val="8"/>
        </w:numPr>
        <w:spacing w:before="0" w:beforeAutospacing="0" w:after="0" w:afterAutospacing="0"/>
        <w:ind w:left="1080" w:firstLine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b/>
          <w:bCs/>
          <w:sz w:val="22"/>
          <w:szCs w:val="22"/>
        </w:rPr>
        <w:t>Control/Control group</w:t>
      </w:r>
      <w:r>
        <w:rPr>
          <w:rStyle w:val="normaltextrun"/>
          <w:rFonts w:ascii="Calibri" w:hAnsi="Calibri" w:cs="Calibri"/>
          <w:sz w:val="22"/>
          <w:szCs w:val="22"/>
        </w:rPr>
        <w:t>– patient who does not have the disease or outcome; groups similar in relevant characteristics to experimental group, but do not receive the experimental intervention 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59071D1D" w14:textId="77777777" w:rsidR="002C624C" w:rsidRDefault="002C624C" w:rsidP="002C624C">
      <w:pPr>
        <w:pStyle w:val="paragraph"/>
        <w:numPr>
          <w:ilvl w:val="0"/>
          <w:numId w:val="9"/>
        </w:numPr>
        <w:spacing w:before="0" w:beforeAutospacing="0" w:after="0" w:afterAutospacing="0"/>
        <w:ind w:left="1080" w:firstLine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b/>
          <w:bCs/>
          <w:sz w:val="22"/>
          <w:szCs w:val="22"/>
        </w:rPr>
        <w:t>Retrospective studies</w:t>
      </w:r>
      <w:r>
        <w:rPr>
          <w:rStyle w:val="normaltextrun"/>
          <w:rFonts w:ascii="Calibri" w:hAnsi="Calibri" w:cs="Calibri"/>
          <w:sz w:val="22"/>
          <w:szCs w:val="22"/>
        </w:rPr>
        <w:t xml:space="preserve"> – studies that look back on outcomes that have already taken place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00F4BFCD" w14:textId="77777777" w:rsidR="002C624C" w:rsidRDefault="002C624C" w:rsidP="002C624C">
      <w:pPr>
        <w:pStyle w:val="paragraph"/>
        <w:numPr>
          <w:ilvl w:val="0"/>
          <w:numId w:val="10"/>
        </w:numPr>
        <w:spacing w:before="0" w:beforeAutospacing="0" w:after="0" w:afterAutospacing="0"/>
        <w:ind w:left="1080" w:firstLine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b/>
          <w:bCs/>
          <w:sz w:val="22"/>
          <w:szCs w:val="22"/>
        </w:rPr>
        <w:t>Sample or sample size</w:t>
      </w:r>
      <w:r>
        <w:rPr>
          <w:rStyle w:val="normaltextrun"/>
          <w:rFonts w:ascii="Calibri" w:hAnsi="Calibri" w:cs="Calibri"/>
          <w:sz w:val="22"/>
          <w:szCs w:val="22"/>
        </w:rPr>
        <w:t xml:space="preserve"> – number of units in a population to be studied 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486EBBEB" w14:textId="77777777" w:rsidR="002C624C" w:rsidRDefault="002C624C" w:rsidP="002C624C">
      <w:pPr>
        <w:pStyle w:val="paragraph"/>
        <w:numPr>
          <w:ilvl w:val="0"/>
          <w:numId w:val="11"/>
        </w:numPr>
        <w:spacing w:before="0" w:beforeAutospacing="0" w:after="0" w:afterAutospacing="0"/>
        <w:ind w:left="1080" w:firstLine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b/>
          <w:bCs/>
          <w:sz w:val="22"/>
          <w:szCs w:val="22"/>
        </w:rPr>
        <w:t>Single-blind method</w:t>
      </w:r>
      <w:r>
        <w:rPr>
          <w:rStyle w:val="normaltextrun"/>
          <w:rFonts w:ascii="Calibri" w:hAnsi="Calibri" w:cs="Calibri"/>
          <w:sz w:val="22"/>
          <w:szCs w:val="22"/>
        </w:rPr>
        <w:t xml:space="preserve"> – method in which either the observers or the subjects are kept ignorant of the group to which the subjects are assigned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5B2BF2CC" w14:textId="77777777" w:rsidR="002C624C" w:rsidRDefault="002C624C" w:rsidP="002C624C">
      <w:pPr>
        <w:pStyle w:val="paragraph"/>
        <w:numPr>
          <w:ilvl w:val="0"/>
          <w:numId w:val="12"/>
        </w:numPr>
        <w:spacing w:before="0" w:beforeAutospacing="0" w:after="0" w:afterAutospacing="0"/>
        <w:ind w:left="1080" w:firstLine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b/>
          <w:bCs/>
          <w:sz w:val="22"/>
          <w:szCs w:val="22"/>
        </w:rPr>
        <w:t>Double-blind method</w:t>
      </w:r>
      <w:r>
        <w:rPr>
          <w:rStyle w:val="normaltextrun"/>
          <w:rFonts w:ascii="Calibri" w:hAnsi="Calibri" w:cs="Calibri"/>
          <w:sz w:val="22"/>
          <w:szCs w:val="22"/>
        </w:rPr>
        <w:t xml:space="preserve"> – method in which both the subjects and investigators are kept unaware of who is actually getting which specific treatment 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400E6BE7" w14:textId="77777777" w:rsidR="002C624C" w:rsidRDefault="002C624C" w:rsidP="002C624C">
      <w:pPr>
        <w:pStyle w:val="paragraph"/>
        <w:numPr>
          <w:ilvl w:val="0"/>
          <w:numId w:val="13"/>
        </w:numPr>
        <w:spacing w:before="0" w:beforeAutospacing="0" w:after="0" w:afterAutospacing="0"/>
        <w:ind w:left="1080" w:firstLine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b/>
          <w:bCs/>
          <w:sz w:val="22"/>
          <w:szCs w:val="22"/>
        </w:rPr>
        <w:t>Randomization</w:t>
      </w:r>
      <w:r>
        <w:rPr>
          <w:rStyle w:val="normaltextrun"/>
          <w:rFonts w:ascii="Calibri" w:hAnsi="Calibri" w:cs="Calibri"/>
          <w:sz w:val="22"/>
          <w:szCs w:val="22"/>
        </w:rPr>
        <w:t xml:space="preserve"> - any number of mechanisms used to assign participants into different groups with the expectation that these groups will not differ in any significant way other than treatment and outcome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044E5710" w14:textId="77777777" w:rsidR="002C624C" w:rsidRDefault="002C624C" w:rsidP="002C624C">
      <w:pPr>
        <w:pStyle w:val="paragraph"/>
        <w:spacing w:before="0" w:beforeAutospacing="0" w:after="0" w:afterAutospacing="0"/>
        <w:ind w:left="72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4C6EA1A1" w14:textId="77777777" w:rsidR="002C624C" w:rsidRDefault="002C624C" w:rsidP="002C624C">
      <w:pPr>
        <w:pStyle w:val="paragraph"/>
        <w:spacing w:before="0" w:beforeAutospacing="0" w:after="0" w:afterAutospacing="0"/>
        <w:ind w:left="72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4B3B8CC2" w14:textId="41525BE3" w:rsidR="002C624C" w:rsidRDefault="002C624C" w:rsidP="002C624C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Part</w:t>
      </w:r>
      <w:r>
        <w:rPr>
          <w:rStyle w:val="normaltextrun"/>
          <w:rFonts w:ascii="Calibri" w:hAnsi="Calibri" w:cs="Calibri"/>
          <w:sz w:val="22"/>
          <w:szCs w:val="22"/>
        </w:rPr>
        <w:t xml:space="preserve"> 2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4693BE33" w14:textId="77777777" w:rsidR="002C624C" w:rsidRDefault="002C624C" w:rsidP="002C624C">
      <w:pPr>
        <w:pStyle w:val="paragraph"/>
        <w:numPr>
          <w:ilvl w:val="0"/>
          <w:numId w:val="14"/>
        </w:numPr>
        <w:spacing w:before="0" w:beforeAutospacing="0" w:after="0" w:afterAutospacing="0"/>
        <w:ind w:left="1080" w:firstLine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b/>
          <w:bCs/>
          <w:sz w:val="22"/>
          <w:szCs w:val="22"/>
        </w:rPr>
        <w:t>Bias</w:t>
      </w:r>
      <w:r>
        <w:rPr>
          <w:rStyle w:val="normaltextrun"/>
          <w:rFonts w:ascii="Calibri" w:hAnsi="Calibri" w:cs="Calibri"/>
          <w:sz w:val="22"/>
          <w:szCs w:val="22"/>
        </w:rPr>
        <w:t xml:space="preserve"> – any deviation of results or inferences from the truth, or processes leading to such deviation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2CF48E8F" w14:textId="77777777" w:rsidR="002C624C" w:rsidRDefault="002C624C" w:rsidP="002C624C">
      <w:pPr>
        <w:pStyle w:val="paragraph"/>
        <w:numPr>
          <w:ilvl w:val="0"/>
          <w:numId w:val="15"/>
        </w:numPr>
        <w:spacing w:before="0" w:beforeAutospacing="0" w:after="0" w:afterAutospacing="0"/>
        <w:ind w:left="1080" w:firstLine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b/>
          <w:bCs/>
          <w:sz w:val="22"/>
          <w:szCs w:val="22"/>
        </w:rPr>
        <w:t xml:space="preserve">Causation </w:t>
      </w:r>
      <w:r>
        <w:rPr>
          <w:rStyle w:val="normaltextrun"/>
          <w:rFonts w:ascii="Calibri" w:hAnsi="Calibri" w:cs="Calibri"/>
          <w:sz w:val="22"/>
          <w:szCs w:val="22"/>
        </w:rPr>
        <w:t>– being able to show that an independent variable directly causes the dependent variable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3D0DCA3C" w14:textId="77777777" w:rsidR="002C624C" w:rsidRDefault="002C624C" w:rsidP="002C624C">
      <w:pPr>
        <w:pStyle w:val="paragraph"/>
        <w:numPr>
          <w:ilvl w:val="0"/>
          <w:numId w:val="16"/>
        </w:numPr>
        <w:spacing w:before="0" w:beforeAutospacing="0" w:after="0" w:afterAutospacing="0"/>
        <w:ind w:left="1080" w:firstLine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b/>
          <w:bCs/>
          <w:sz w:val="22"/>
          <w:szCs w:val="22"/>
        </w:rPr>
        <w:t>Confounding</w:t>
      </w:r>
      <w:r>
        <w:rPr>
          <w:rStyle w:val="normaltextrun"/>
          <w:rFonts w:ascii="Calibri" w:hAnsi="Calibri" w:cs="Calibri"/>
          <w:sz w:val="22"/>
          <w:szCs w:val="22"/>
        </w:rPr>
        <w:t xml:space="preserve"> – when an exposure and an outcome are both strongly associated with a third variable 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551421CF" w14:textId="77777777" w:rsidR="002C624C" w:rsidRDefault="002C624C" w:rsidP="002C624C">
      <w:pPr>
        <w:pStyle w:val="paragraph"/>
        <w:numPr>
          <w:ilvl w:val="0"/>
          <w:numId w:val="17"/>
        </w:numPr>
        <w:spacing w:before="0" w:beforeAutospacing="0" w:after="0" w:afterAutospacing="0"/>
        <w:ind w:left="1080" w:firstLine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b/>
          <w:bCs/>
          <w:sz w:val="22"/>
          <w:szCs w:val="22"/>
        </w:rPr>
        <w:t>Confounding variables</w:t>
      </w:r>
      <w:r>
        <w:rPr>
          <w:rStyle w:val="normaltextrun"/>
          <w:rFonts w:ascii="Calibri" w:hAnsi="Calibri" w:cs="Calibri"/>
          <w:sz w:val="22"/>
          <w:szCs w:val="22"/>
        </w:rPr>
        <w:t xml:space="preserve"> – variables that cause/prevent an outcome from occurring outside of or along with the variable being studied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0061DD04" w14:textId="77777777" w:rsidR="002C624C" w:rsidRDefault="002C624C" w:rsidP="002C624C">
      <w:pPr>
        <w:pStyle w:val="paragraph"/>
        <w:numPr>
          <w:ilvl w:val="0"/>
          <w:numId w:val="18"/>
        </w:numPr>
        <w:spacing w:before="0" w:beforeAutospacing="0" w:after="0" w:afterAutospacing="0"/>
        <w:ind w:left="1080" w:firstLine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b/>
          <w:bCs/>
          <w:sz w:val="22"/>
          <w:szCs w:val="22"/>
        </w:rPr>
        <w:t>Sensitivity</w:t>
      </w:r>
      <w:r>
        <w:rPr>
          <w:rStyle w:val="normaltextrun"/>
          <w:rFonts w:ascii="Calibri" w:hAnsi="Calibri" w:cs="Calibri"/>
          <w:sz w:val="22"/>
          <w:szCs w:val="22"/>
        </w:rPr>
        <w:t xml:space="preserve"> – relationship between what is considered a symptom of an outcome and the outcome itself; or percent chance of not getting a false positive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45689BA0" w14:textId="77777777" w:rsidR="002C624C" w:rsidRDefault="002C624C" w:rsidP="002C624C">
      <w:pPr>
        <w:pStyle w:val="paragraph"/>
        <w:numPr>
          <w:ilvl w:val="0"/>
          <w:numId w:val="19"/>
        </w:numPr>
        <w:spacing w:before="0" w:beforeAutospacing="0" w:after="0" w:afterAutospacing="0"/>
        <w:ind w:left="1080" w:firstLine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b/>
          <w:bCs/>
          <w:sz w:val="22"/>
          <w:szCs w:val="22"/>
        </w:rPr>
        <w:t>Confidence interval</w:t>
      </w:r>
      <w:r>
        <w:rPr>
          <w:rStyle w:val="normaltextrun"/>
          <w:rFonts w:ascii="Calibri" w:hAnsi="Calibri" w:cs="Calibri"/>
          <w:sz w:val="22"/>
          <w:szCs w:val="22"/>
        </w:rPr>
        <w:t xml:space="preserve"> – shows the range of values you expect the true estimate to fall between if you redo the study many times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5927134E" w14:textId="77777777" w:rsidR="002C624C" w:rsidRDefault="002C624C" w:rsidP="002C624C">
      <w:pPr>
        <w:pStyle w:val="paragraph"/>
        <w:numPr>
          <w:ilvl w:val="0"/>
          <w:numId w:val="20"/>
        </w:numPr>
        <w:spacing w:before="0" w:beforeAutospacing="0" w:after="0" w:afterAutospacing="0"/>
        <w:ind w:left="1080" w:firstLine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b/>
          <w:bCs/>
          <w:sz w:val="22"/>
          <w:szCs w:val="22"/>
        </w:rPr>
        <w:t>Specificity</w:t>
      </w:r>
      <w:r>
        <w:rPr>
          <w:rStyle w:val="normaltextrun"/>
          <w:rFonts w:ascii="Calibri" w:hAnsi="Calibri" w:cs="Calibri"/>
          <w:sz w:val="22"/>
          <w:szCs w:val="22"/>
        </w:rPr>
        <w:t xml:space="preserve"> – relationship between not having a symptom of an outcome and not having the outcome itself; or percent of not getting a false negative  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4B1C78D1" w14:textId="77777777" w:rsidR="002C624C" w:rsidRDefault="002C624C" w:rsidP="002C624C">
      <w:pPr>
        <w:pStyle w:val="paragraph"/>
        <w:numPr>
          <w:ilvl w:val="0"/>
          <w:numId w:val="21"/>
        </w:numPr>
        <w:spacing w:before="0" w:beforeAutospacing="0" w:after="0" w:afterAutospacing="0"/>
        <w:ind w:left="1080" w:firstLine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b/>
          <w:bCs/>
          <w:sz w:val="22"/>
          <w:szCs w:val="22"/>
        </w:rPr>
        <w:t>Exclusion criteria</w:t>
      </w:r>
      <w:r>
        <w:rPr>
          <w:rStyle w:val="normaltextrun"/>
          <w:rFonts w:ascii="Calibri" w:hAnsi="Calibri" w:cs="Calibri"/>
          <w:sz w:val="22"/>
          <w:szCs w:val="22"/>
        </w:rPr>
        <w:t xml:space="preserve"> – set of conditions that characterize some individuals which result in being excluded in the study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1E53CFD5" w14:textId="77777777" w:rsidR="002C624C" w:rsidRDefault="002C624C" w:rsidP="002C624C">
      <w:pPr>
        <w:pStyle w:val="paragraph"/>
        <w:numPr>
          <w:ilvl w:val="0"/>
          <w:numId w:val="22"/>
        </w:numPr>
        <w:spacing w:before="0" w:beforeAutospacing="0" w:after="0" w:afterAutospacing="0"/>
        <w:ind w:left="1080" w:firstLine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b/>
          <w:bCs/>
          <w:sz w:val="22"/>
          <w:szCs w:val="22"/>
        </w:rPr>
        <w:lastRenderedPageBreak/>
        <w:t>Inclusion criteria</w:t>
      </w:r>
      <w:r>
        <w:rPr>
          <w:rStyle w:val="normaltextrun"/>
          <w:rFonts w:ascii="Calibri" w:hAnsi="Calibri" w:cs="Calibri"/>
          <w:sz w:val="22"/>
          <w:szCs w:val="22"/>
        </w:rPr>
        <w:t xml:space="preserve"> – set of conditions that participants must meet to be included in the study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1058D30F" w14:textId="77777777" w:rsidR="002C624C" w:rsidRDefault="002C624C" w:rsidP="002C624C">
      <w:pPr>
        <w:pStyle w:val="paragraph"/>
        <w:numPr>
          <w:ilvl w:val="0"/>
          <w:numId w:val="23"/>
        </w:numPr>
        <w:spacing w:before="0" w:beforeAutospacing="0" w:after="0" w:afterAutospacing="0"/>
        <w:ind w:left="1080" w:firstLine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b/>
          <w:bCs/>
          <w:sz w:val="22"/>
          <w:szCs w:val="22"/>
        </w:rPr>
        <w:t xml:space="preserve">False positive – </w:t>
      </w:r>
      <w:r>
        <w:rPr>
          <w:rStyle w:val="normaltextrun"/>
          <w:rFonts w:ascii="Calibri" w:hAnsi="Calibri" w:cs="Calibri"/>
          <w:sz w:val="22"/>
          <w:szCs w:val="22"/>
        </w:rPr>
        <w:t>patient without the target condition who has a positive diagnostic test result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3AA58E29" w14:textId="77777777" w:rsidR="002C624C" w:rsidRDefault="002C624C" w:rsidP="002C624C">
      <w:pPr>
        <w:pStyle w:val="paragraph"/>
        <w:numPr>
          <w:ilvl w:val="0"/>
          <w:numId w:val="24"/>
        </w:numPr>
        <w:spacing w:before="0" w:beforeAutospacing="0" w:after="0" w:afterAutospacing="0"/>
        <w:ind w:left="1080" w:firstLine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b/>
          <w:bCs/>
          <w:sz w:val="22"/>
          <w:szCs w:val="22"/>
        </w:rPr>
        <w:t xml:space="preserve">False negative – </w:t>
      </w:r>
      <w:r>
        <w:rPr>
          <w:rStyle w:val="normaltextrun"/>
          <w:rFonts w:ascii="Calibri" w:hAnsi="Calibri" w:cs="Calibri"/>
          <w:sz w:val="22"/>
          <w:szCs w:val="22"/>
        </w:rPr>
        <w:t>patient with the target condition who has a negative diagnostic test result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7C4B9F12" w14:textId="77777777" w:rsidR="002C624C" w:rsidRDefault="002C624C" w:rsidP="002C624C">
      <w:pPr>
        <w:pStyle w:val="paragraph"/>
        <w:spacing w:before="0" w:beforeAutospacing="0" w:after="0" w:afterAutospacing="0"/>
        <w:ind w:left="72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7C22701E" w14:textId="77777777" w:rsidR="002C624C" w:rsidRDefault="002C624C" w:rsidP="002C624C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50343565" w14:textId="77777777" w:rsidR="002C624C" w:rsidRDefault="002C624C" w:rsidP="002C624C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ptos" w:hAnsi="Aptos" w:cs="Segoe UI"/>
          <w:color w:val="467886"/>
        </w:rPr>
        <w:t> </w:t>
      </w:r>
    </w:p>
    <w:p w14:paraId="5A7E1497" w14:textId="77777777" w:rsidR="002C624C" w:rsidRDefault="002C624C" w:rsidP="002C624C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color w:val="001E62"/>
          <w:sz w:val="22"/>
          <w:szCs w:val="22"/>
        </w:rPr>
      </w:pPr>
      <w:r>
        <w:rPr>
          <w:rStyle w:val="normaltextrun"/>
          <w:rFonts w:ascii="Calibri" w:hAnsi="Calibri" w:cs="Calibri"/>
          <w:color w:val="001E62"/>
          <w:sz w:val="22"/>
          <w:szCs w:val="22"/>
        </w:rPr>
        <w:t>References</w:t>
      </w:r>
    </w:p>
    <w:p w14:paraId="7DF13F53" w14:textId="6ECD713D" w:rsidR="002C624C" w:rsidRDefault="002C624C" w:rsidP="002C624C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1E62"/>
          <w:sz w:val="22"/>
          <w:szCs w:val="22"/>
        </w:rPr>
        <w:t xml:space="preserve">Georgia State University Library. Types of clinical study designs. Updated August 16, 2024. Accessed March 11, 2025. </w:t>
      </w:r>
      <w:hyperlink r:id="rId5" w:tgtFrame="_blank" w:history="1">
        <w:r>
          <w:rPr>
            <w:rStyle w:val="normaltextrun"/>
            <w:rFonts w:ascii="Calibri" w:hAnsi="Calibri" w:cs="Calibri"/>
            <w:color w:val="0563C1"/>
            <w:sz w:val="22"/>
            <w:szCs w:val="22"/>
            <w:u w:val="single"/>
          </w:rPr>
          <w:t>https://research.library.gsu.edu/c.php?g=115595&amp;p=755213</w:t>
        </w:r>
      </w:hyperlink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2B1758FA" w14:textId="77777777" w:rsidR="002C624C" w:rsidRDefault="002C624C" w:rsidP="002C624C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1E62"/>
          <w:sz w:val="22"/>
          <w:szCs w:val="22"/>
        </w:rPr>
        <w:t xml:space="preserve">Himmelfarb Health Sciences Library. Study design 101: Glossary. Updated September 25, 2023. Accessed March 11, 2025. </w:t>
      </w:r>
      <w:hyperlink r:id="rId6" w:tgtFrame="_blank" w:history="1">
        <w:r>
          <w:rPr>
            <w:rStyle w:val="normaltextrun"/>
            <w:rFonts w:ascii="Calibri" w:hAnsi="Calibri" w:cs="Calibri"/>
            <w:color w:val="0563C1"/>
            <w:sz w:val="22"/>
            <w:szCs w:val="22"/>
            <w:u w:val="single"/>
          </w:rPr>
          <w:t>https://guides.himmelfarb.gwu.edu/studydesign101/glossary</w:t>
        </w:r>
      </w:hyperlink>
      <w:r>
        <w:rPr>
          <w:rStyle w:val="normaltextrun"/>
          <w:rFonts w:ascii="Calibri" w:hAnsi="Calibri" w:cs="Calibri"/>
          <w:color w:val="001E62"/>
          <w:sz w:val="22"/>
          <w:szCs w:val="22"/>
        </w:rPr>
        <w:t> </w:t>
      </w:r>
      <w:r>
        <w:rPr>
          <w:rStyle w:val="eop"/>
          <w:rFonts w:ascii="Calibri" w:hAnsi="Calibri" w:cs="Calibri"/>
          <w:color w:val="001E62"/>
          <w:sz w:val="22"/>
          <w:szCs w:val="22"/>
        </w:rPr>
        <w:t> </w:t>
      </w:r>
    </w:p>
    <w:p w14:paraId="39BD322E" w14:textId="77777777" w:rsidR="002C624C" w:rsidRDefault="002C624C" w:rsidP="002C624C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1E62"/>
          <w:sz w:val="22"/>
          <w:szCs w:val="22"/>
        </w:rPr>
        <w:t xml:space="preserve">USF Health Libraries. EBP glossary of terms. Updated March 5, 2025. Accessed March 18, 2025. </w:t>
      </w:r>
      <w:hyperlink r:id="rId7" w:tgtFrame="_blank" w:history="1">
        <w:r>
          <w:rPr>
            <w:rStyle w:val="normaltextrun"/>
            <w:rFonts w:ascii="Calibri" w:hAnsi="Calibri" w:cs="Calibri"/>
            <w:color w:val="0563C1"/>
            <w:sz w:val="22"/>
            <w:szCs w:val="22"/>
            <w:u w:val="single"/>
          </w:rPr>
          <w:t>https://libraries.health.usf.edu/c.php?g=1224536&amp;p=8957960</w:t>
        </w:r>
      </w:hyperlink>
      <w:r>
        <w:rPr>
          <w:rStyle w:val="normaltextrun"/>
          <w:rFonts w:ascii="Calibri" w:hAnsi="Calibri" w:cs="Calibri"/>
          <w:color w:val="001E62"/>
          <w:sz w:val="22"/>
          <w:szCs w:val="22"/>
        </w:rPr>
        <w:t> </w:t>
      </w:r>
      <w:r>
        <w:rPr>
          <w:rStyle w:val="eop"/>
          <w:rFonts w:ascii="Calibri" w:hAnsi="Calibri" w:cs="Calibri"/>
          <w:color w:val="001E62"/>
          <w:sz w:val="22"/>
          <w:szCs w:val="22"/>
        </w:rPr>
        <w:t> </w:t>
      </w:r>
    </w:p>
    <w:p w14:paraId="01D2B4C8" w14:textId="77777777" w:rsidR="00D1010D" w:rsidRPr="002C624C" w:rsidRDefault="00D1010D" w:rsidP="002C624C"/>
    <w:sectPr w:rsidR="00D1010D" w:rsidRPr="002C624C" w:rsidSect="00EE6E4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6D2954"/>
    <w:multiLevelType w:val="multilevel"/>
    <w:tmpl w:val="7DE4F4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7D058E4"/>
    <w:multiLevelType w:val="multilevel"/>
    <w:tmpl w:val="C19E57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C3C06AA"/>
    <w:multiLevelType w:val="multilevel"/>
    <w:tmpl w:val="B0CE51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25F26B65"/>
    <w:multiLevelType w:val="multilevel"/>
    <w:tmpl w:val="852EB6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2A3C01C6"/>
    <w:multiLevelType w:val="multilevel"/>
    <w:tmpl w:val="4AAE48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36AC20B8"/>
    <w:multiLevelType w:val="multilevel"/>
    <w:tmpl w:val="B5FAEF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409857B7"/>
    <w:multiLevelType w:val="multilevel"/>
    <w:tmpl w:val="95A093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435D79B1"/>
    <w:multiLevelType w:val="multilevel"/>
    <w:tmpl w:val="84A42F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4CA92F57"/>
    <w:multiLevelType w:val="multilevel"/>
    <w:tmpl w:val="8C4E13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4CCD1FBB"/>
    <w:multiLevelType w:val="multilevel"/>
    <w:tmpl w:val="25F6D0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57AC231F"/>
    <w:multiLevelType w:val="multilevel"/>
    <w:tmpl w:val="31C01C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59263CD9"/>
    <w:multiLevelType w:val="multilevel"/>
    <w:tmpl w:val="021405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5A564F70"/>
    <w:multiLevelType w:val="multilevel"/>
    <w:tmpl w:val="79A058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5DE3221E"/>
    <w:multiLevelType w:val="multilevel"/>
    <w:tmpl w:val="030C21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61BA644F"/>
    <w:multiLevelType w:val="multilevel"/>
    <w:tmpl w:val="C9C87C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61D56570"/>
    <w:multiLevelType w:val="multilevel"/>
    <w:tmpl w:val="911C59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64E50113"/>
    <w:multiLevelType w:val="multilevel"/>
    <w:tmpl w:val="B9AC90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67B71BB4"/>
    <w:multiLevelType w:val="multilevel"/>
    <w:tmpl w:val="22A431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 w15:restartNumberingAfterBreak="0">
    <w:nsid w:val="683D2C23"/>
    <w:multiLevelType w:val="multilevel"/>
    <w:tmpl w:val="0914AB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 w15:restartNumberingAfterBreak="0">
    <w:nsid w:val="6B1607CE"/>
    <w:multiLevelType w:val="multilevel"/>
    <w:tmpl w:val="1B421F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 w15:restartNumberingAfterBreak="0">
    <w:nsid w:val="77387871"/>
    <w:multiLevelType w:val="multilevel"/>
    <w:tmpl w:val="90D6DF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7B106610"/>
    <w:multiLevelType w:val="multilevel"/>
    <w:tmpl w:val="A42491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 w15:restartNumberingAfterBreak="0">
    <w:nsid w:val="7B996493"/>
    <w:multiLevelType w:val="multilevel"/>
    <w:tmpl w:val="32F084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 w15:restartNumberingAfterBreak="0">
    <w:nsid w:val="7C7854D2"/>
    <w:multiLevelType w:val="multilevel"/>
    <w:tmpl w:val="857419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4"/>
  </w:num>
  <w:num w:numId="2">
    <w:abstractNumId w:val="8"/>
  </w:num>
  <w:num w:numId="3">
    <w:abstractNumId w:val="12"/>
  </w:num>
  <w:num w:numId="4">
    <w:abstractNumId w:val="23"/>
  </w:num>
  <w:num w:numId="5">
    <w:abstractNumId w:val="0"/>
  </w:num>
  <w:num w:numId="6">
    <w:abstractNumId w:val="20"/>
  </w:num>
  <w:num w:numId="7">
    <w:abstractNumId w:val="9"/>
  </w:num>
  <w:num w:numId="8">
    <w:abstractNumId w:val="11"/>
  </w:num>
  <w:num w:numId="9">
    <w:abstractNumId w:val="19"/>
  </w:num>
  <w:num w:numId="10">
    <w:abstractNumId w:val="17"/>
  </w:num>
  <w:num w:numId="11">
    <w:abstractNumId w:val="1"/>
  </w:num>
  <w:num w:numId="12">
    <w:abstractNumId w:val="2"/>
  </w:num>
  <w:num w:numId="13">
    <w:abstractNumId w:val="21"/>
  </w:num>
  <w:num w:numId="14">
    <w:abstractNumId w:val="6"/>
  </w:num>
  <w:num w:numId="15">
    <w:abstractNumId w:val="3"/>
  </w:num>
  <w:num w:numId="16">
    <w:abstractNumId w:val="4"/>
  </w:num>
  <w:num w:numId="17">
    <w:abstractNumId w:val="7"/>
  </w:num>
  <w:num w:numId="18">
    <w:abstractNumId w:val="16"/>
  </w:num>
  <w:num w:numId="19">
    <w:abstractNumId w:val="22"/>
  </w:num>
  <w:num w:numId="20">
    <w:abstractNumId w:val="15"/>
  </w:num>
  <w:num w:numId="21">
    <w:abstractNumId w:val="10"/>
  </w:num>
  <w:num w:numId="22">
    <w:abstractNumId w:val="13"/>
  </w:num>
  <w:num w:numId="23">
    <w:abstractNumId w:val="18"/>
  </w:num>
  <w:num w:numId="2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1010D"/>
    <w:rsid w:val="002C624C"/>
    <w:rsid w:val="00D1010D"/>
    <w:rsid w:val="00EE6E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6D877C3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2C624C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normaltextrun">
    <w:name w:val="normaltextrun"/>
    <w:basedOn w:val="DefaultParagraphFont"/>
    <w:rsid w:val="002C624C"/>
  </w:style>
  <w:style w:type="character" w:customStyle="1" w:styleId="eop">
    <w:name w:val="eop"/>
    <w:basedOn w:val="DefaultParagraphFont"/>
    <w:rsid w:val="002C624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8006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002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3375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036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1518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4286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6069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1149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7568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1527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1465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8802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5635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883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0641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6261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0242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8923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6807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9349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8572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9113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982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4716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1736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2381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0258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9177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2472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1152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7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1516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6563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8793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1204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4666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0505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3582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293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libraries.health.usf.edu/c.php?g=1224536&amp;p=895796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guides.himmelfarb.gwu.edu/studydesign101/glossary" TargetMode="External"/><Relationship Id="rId5" Type="http://schemas.openxmlformats.org/officeDocument/2006/relationships/hyperlink" Target="https://research.library.gsu.edu/c.php?g=115595&amp;p=755213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581</Words>
  <Characters>3316</Characters>
  <Application>Microsoft Office Word</Application>
  <DocSecurity>0</DocSecurity>
  <Lines>27</Lines>
  <Paragraphs>7</Paragraphs>
  <ScaleCrop>false</ScaleCrop>
  <Company/>
  <LinksUpToDate>false</LinksUpToDate>
  <CharactersWithSpaces>3890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2</cp:revision>
  <dcterms:created xsi:type="dcterms:W3CDTF">2018-02-09T21:34:00Z</dcterms:created>
  <dcterms:modified xsi:type="dcterms:W3CDTF">2025-03-25T20:39:00Z</dcterms:modified>
</cp:coreProperties>
</file>