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F2570" w:rsidR="00D66F12" w:rsidP="00766718" w:rsidRDefault="00D66F12" w14:paraId="4493D344" w14:textId="0F226B70">
      <w:pPr>
        <w:spacing w:after="0"/>
        <w:ind w:right="-180"/>
        <w:rPr>
          <w:rFonts w:ascii="Arial" w:hAnsi="Arial" w:cs="Arial"/>
        </w:rPr>
      </w:pPr>
      <w:r w:rsidRPr="00D66F12">
        <w:rPr>
          <w:rFonts w:ascii="Arial" w:hAnsi="Arial" w:cs="Arial"/>
          <w:b/>
          <w:bCs/>
        </w:rPr>
        <w:t>Section 3.</w:t>
      </w:r>
      <w:r w:rsidRPr="000F2570">
        <w:rPr>
          <w:rFonts w:ascii="Arial" w:hAnsi="Arial" w:cs="Arial"/>
          <w:b/>
          <w:bCs/>
        </w:rPr>
        <w:t xml:space="preserve">3 </w:t>
      </w:r>
      <w:r w:rsidRPr="000F2570" w:rsidR="000F2570">
        <w:rPr>
          <w:rFonts w:ascii="Arial" w:hAnsi="Arial" w:cs="Arial"/>
          <w:b/>
          <w:bCs/>
        </w:rPr>
        <w:t xml:space="preserve">What are </w:t>
      </w:r>
      <w:r w:rsidRPr="000F2570" w:rsidR="00C82AC6">
        <w:rPr>
          <w:rFonts w:ascii="Arial" w:hAnsi="Arial" w:cs="Arial"/>
          <w:b/>
          <w:bCs/>
        </w:rPr>
        <w:t>Evidence Taxonomies</w:t>
      </w:r>
      <w:r w:rsidRPr="000F2570" w:rsidR="000F2570">
        <w:rPr>
          <w:rFonts w:ascii="Arial" w:hAnsi="Arial" w:cs="Arial"/>
          <w:b/>
          <w:bCs/>
        </w:rPr>
        <w:t>?</w:t>
      </w:r>
    </w:p>
    <w:p w:rsidRPr="005C53D8" w:rsidR="005C53D8" w:rsidP="00786DFF" w:rsidRDefault="005C53D8" w14:paraId="2F56F15B" w14:textId="77777777">
      <w:pPr>
        <w:spacing w:after="0"/>
        <w:rPr>
          <w:rFonts w:ascii="Arial" w:hAnsi="Arial" w:cs="Arial"/>
        </w:rPr>
      </w:pPr>
    </w:p>
    <w:p w:rsidRPr="00787E49" w:rsidR="00787E49" w:rsidP="00787E49" w:rsidRDefault="00787E49" w14:paraId="4E03437F" w14:textId="5B062CE9">
      <w:pPr>
        <w:spacing w:after="0"/>
        <w:rPr>
          <w:rFonts w:ascii="Arial" w:hAnsi="Arial" w:cs="Arial"/>
        </w:rPr>
      </w:pPr>
      <w:r w:rsidRPr="00787E49">
        <w:rPr>
          <w:rFonts w:ascii="Arial" w:hAnsi="Arial" w:cs="Arial"/>
        </w:rPr>
        <w:t>This section is on exploring the concept of “levels of evidence”</w:t>
      </w:r>
      <w:r w:rsidR="00C82AC6">
        <w:rPr>
          <w:rFonts w:ascii="Arial" w:hAnsi="Arial" w:cs="Arial"/>
        </w:rPr>
        <w:t xml:space="preserve"> or evidence taxonomies</w:t>
      </w:r>
      <w:r w:rsidRPr="00787E49">
        <w:rPr>
          <w:rFonts w:ascii="Arial" w:hAnsi="Arial" w:cs="Arial"/>
        </w:rPr>
        <w:t xml:space="preserve"> in describing types of literature and understanding why levels or hierarchies of evidence are important within </w:t>
      </w:r>
      <w:proofErr w:type="gramStart"/>
      <w:r w:rsidRPr="00787E49">
        <w:rPr>
          <w:rFonts w:ascii="Arial" w:hAnsi="Arial" w:cs="Arial"/>
        </w:rPr>
        <w:t>evidence based</w:t>
      </w:r>
      <w:proofErr w:type="gramEnd"/>
      <w:r w:rsidRPr="00787E49">
        <w:rPr>
          <w:rFonts w:ascii="Arial" w:hAnsi="Arial" w:cs="Arial"/>
        </w:rPr>
        <w:t xml:space="preserve"> medicine.  </w:t>
      </w:r>
    </w:p>
    <w:p w:rsidR="00787E49" w:rsidP="00786DFF" w:rsidRDefault="00787E49" w14:paraId="54EAD90A" w14:textId="77777777">
      <w:pPr>
        <w:spacing w:after="0"/>
        <w:rPr>
          <w:rFonts w:ascii="Arial" w:hAnsi="Arial" w:cs="Arial"/>
        </w:rPr>
      </w:pPr>
    </w:p>
    <w:p w:rsidR="00786DFF" w:rsidP="00786DFF" w:rsidRDefault="1256BACC" w14:paraId="66D20C57" w14:textId="60B6EAC0">
      <w:pPr>
        <w:spacing w:after="0"/>
        <w:rPr>
          <w:rFonts w:ascii="Arial" w:hAnsi="Arial" w:cs="Arial"/>
        </w:rPr>
      </w:pPr>
      <w:r w:rsidRPr="1256BACC">
        <w:rPr>
          <w:rFonts w:ascii="Arial" w:hAnsi="Arial" w:cs="Arial"/>
        </w:rPr>
        <w:t xml:space="preserve">The learning objectives are to recognize the relationship between types of literature in terms of evidence, explain the differences in evidence </w:t>
      </w:r>
      <w:r w:rsidR="00C82AC6">
        <w:rPr>
          <w:rFonts w:ascii="Arial" w:hAnsi="Arial" w:cs="Arial"/>
        </w:rPr>
        <w:t>taxonomies</w:t>
      </w:r>
      <w:r w:rsidRPr="1256BACC">
        <w:rPr>
          <w:rFonts w:ascii="Arial" w:hAnsi="Arial" w:cs="Arial"/>
        </w:rPr>
        <w:t>, and understand that the best evidence may not be the highest literature type in the hierarchy.</w:t>
      </w:r>
    </w:p>
    <w:p w:rsidR="00494274" w:rsidP="00786DFF" w:rsidRDefault="00494274" w14:paraId="432C1071" w14:textId="77777777">
      <w:pPr>
        <w:spacing w:after="0"/>
        <w:rPr>
          <w:rFonts w:ascii="Arial" w:hAnsi="Arial" w:cs="Arial"/>
        </w:rPr>
      </w:pPr>
    </w:p>
    <w:p w:rsidR="00787E49" w:rsidP="4358E2E1" w:rsidRDefault="00C82AC6" w14:paraId="566624BA" w14:textId="2233E16D">
      <w:pPr>
        <w:spacing w:after="0"/>
        <w:rPr>
          <w:rFonts w:ascii="Arial" w:hAnsi="Arial" w:cs="Arial"/>
        </w:rPr>
      </w:pPr>
      <w:r>
        <w:rPr>
          <w:rFonts w:ascii="Arial" w:hAnsi="Arial" w:cs="Arial"/>
        </w:rPr>
        <w:t>Evidence taxonomies, often referred to as l</w:t>
      </w:r>
      <w:r w:rsidRPr="4358E2E1" w:rsidR="4358E2E1">
        <w:rPr>
          <w:rFonts w:ascii="Arial" w:hAnsi="Arial" w:cs="Arial"/>
        </w:rPr>
        <w:t>evels or hierarchies of evidence</w:t>
      </w:r>
      <w:r>
        <w:rPr>
          <w:rFonts w:ascii="Arial" w:hAnsi="Arial" w:cs="Arial"/>
        </w:rPr>
        <w:t>,</w:t>
      </w:r>
      <w:r w:rsidRPr="4358E2E1" w:rsidR="4358E2E1">
        <w:rPr>
          <w:rFonts w:ascii="Arial" w:hAnsi="Arial" w:cs="Arial"/>
        </w:rPr>
        <w:t xml:space="preserve"> have been created to better understand the quality and strengths of different types of literature, particularly types of research studies. They describe a rating or classification system of the research literature and </w:t>
      </w:r>
      <w:r w:rsidR="00787E49">
        <w:rPr>
          <w:rFonts w:ascii="Arial" w:hAnsi="Arial" w:cs="Arial"/>
        </w:rPr>
        <w:t xml:space="preserve">are used to </w:t>
      </w:r>
      <w:r w:rsidRPr="4358E2E1" w:rsidR="4358E2E1">
        <w:rPr>
          <w:rFonts w:ascii="Arial" w:hAnsi="Arial" w:cs="Arial"/>
        </w:rPr>
        <w:t>encourage clinicians to find and apply the highest level of knowledge or evidence to answer their clinical questions. (Burns, et al., 2011) They assist in selecting the best research evidence for answering specific clinical questions and patient situations.</w:t>
      </w:r>
      <w:r>
        <w:rPr>
          <w:rFonts w:ascii="Arial" w:hAnsi="Arial" w:cs="Arial"/>
        </w:rPr>
        <w:t xml:space="preserve"> Some</w:t>
      </w:r>
      <w:r w:rsidRPr="4358E2E1" w:rsidR="4358E2E1">
        <w:rPr>
          <w:rFonts w:ascii="Arial" w:hAnsi="Arial" w:cs="Arial"/>
        </w:rPr>
        <w:t xml:space="preserve"> “</w:t>
      </w:r>
      <w:r>
        <w:rPr>
          <w:rFonts w:ascii="Arial" w:hAnsi="Arial" w:cs="Arial"/>
        </w:rPr>
        <w:t>e</w:t>
      </w:r>
      <w:r w:rsidRPr="4358E2E1" w:rsidR="4358E2E1">
        <w:rPr>
          <w:rFonts w:ascii="Arial" w:hAnsi="Arial" w:cs="Arial"/>
        </w:rPr>
        <w:t xml:space="preserve">vidence levels” or “hierarchies of evidence” provide a visual representation of the layered or stepped transition between low levels of evidence and high levels of evidence. </w:t>
      </w:r>
    </w:p>
    <w:p w:rsidRPr="00C82AC6" w:rsidR="00C82AC6" w:rsidP="4358E2E1" w:rsidRDefault="00C82AC6" w14:paraId="36CF4285" w14:textId="77777777">
      <w:pPr>
        <w:spacing w:after="0"/>
        <w:rPr>
          <w:rFonts w:ascii="Arial" w:hAnsi="Arial" w:cs="Arial"/>
          <w:color w:val="EE0000"/>
        </w:rPr>
      </w:pPr>
    </w:p>
    <w:p w:rsidR="00787E49" w:rsidP="4358E2E1" w:rsidRDefault="4358E2E1" w14:paraId="115E5E32" w14:textId="077F3AB9">
      <w:pPr>
        <w:spacing w:after="0"/>
        <w:rPr>
          <w:rFonts w:ascii="Arial" w:hAnsi="Arial" w:cs="Arial"/>
        </w:rPr>
      </w:pPr>
      <w:r w:rsidRPr="4358E2E1">
        <w:rPr>
          <w:rFonts w:ascii="Arial" w:hAnsi="Arial" w:eastAsia="Arial" w:cs="Arial"/>
          <w:color w:val="000000" w:themeColor="text1"/>
        </w:rPr>
        <w:t>For instance, the Evidence Pyramid from Dartmouth Biomedical Libraries shows expert opinion as the base of the pyramid and meta-analysis as the top of the pyramid, noting a distinction between primary research and synthesized research.</w:t>
      </w:r>
      <w:r w:rsidRPr="4358E2E1">
        <w:rPr>
          <w:rFonts w:ascii="Arial" w:hAnsi="Arial" w:cs="Arial"/>
        </w:rPr>
        <w:t xml:space="preserve"> </w:t>
      </w:r>
    </w:p>
    <w:p w:rsidR="00CF20ED" w:rsidP="0042200F" w:rsidRDefault="00CF20ED" w14:paraId="0AE12571" w14:textId="77777777">
      <w:pPr>
        <w:spacing w:after="0"/>
        <w:ind w:left="720"/>
        <w:rPr>
          <w:rFonts w:ascii="Arial" w:hAnsi="Arial" w:cs="Arial"/>
        </w:rPr>
      </w:pPr>
    </w:p>
    <w:p w:rsidR="0042200F" w:rsidP="00CF20ED" w:rsidRDefault="00CF20ED" w14:paraId="2DE30B03" w14:textId="3B97563B">
      <w:pPr>
        <w:spacing w:after="0"/>
        <w:rPr>
          <w:rFonts w:ascii="Arial" w:hAnsi="Arial" w:cs="Arial"/>
        </w:rPr>
      </w:pPr>
      <w:r>
        <w:rPr>
          <w:rFonts w:ascii="Arial" w:hAnsi="Arial" w:cs="Arial"/>
        </w:rPr>
        <w:t>[</w:t>
      </w:r>
      <w:r w:rsidR="0042200F">
        <w:rPr>
          <w:rFonts w:ascii="Arial" w:hAnsi="Arial" w:cs="Arial"/>
        </w:rPr>
        <w:t xml:space="preserve">Image of the Dartmouth Evidence Pyramid: </w:t>
      </w:r>
      <w:r w:rsidRPr="0042200F" w:rsidR="0042200F">
        <w:rPr>
          <w:rFonts w:ascii="Arial" w:hAnsi="Arial" w:cs="Arial"/>
        </w:rPr>
        <w:t>A diagram of scientific research represented as pyramid by Dartmouth Biomedical Libraries. The lower portion of the evidence pyramid reflects primary research, and the upper portion reflect</w:t>
      </w:r>
      <w:r w:rsidR="0042200F">
        <w:rPr>
          <w:rFonts w:ascii="Arial" w:hAnsi="Arial" w:cs="Arial"/>
        </w:rPr>
        <w:t>s</w:t>
      </w:r>
      <w:r w:rsidRPr="0042200F" w:rsidR="0042200F">
        <w:rPr>
          <w:rFonts w:ascii="Arial" w:hAnsi="Arial" w:cs="Arial"/>
        </w:rPr>
        <w:t xml:space="preserve"> synthesized research.</w:t>
      </w:r>
      <w:r>
        <w:rPr>
          <w:rFonts w:ascii="Arial" w:hAnsi="Arial" w:cs="Arial"/>
        </w:rPr>
        <w:t>]</w:t>
      </w:r>
    </w:p>
    <w:p w:rsidR="0042200F" w:rsidP="0042200F" w:rsidRDefault="0042200F" w14:paraId="03687E8A" w14:textId="77777777">
      <w:pPr>
        <w:spacing w:after="0"/>
        <w:ind w:left="720"/>
        <w:rPr>
          <w:rFonts w:ascii="Arial" w:hAnsi="Arial" w:eastAsia="Arial" w:cs="Arial"/>
          <w:color w:val="000000" w:themeColor="text1"/>
        </w:rPr>
      </w:pPr>
    </w:p>
    <w:p w:rsidR="4358E2E1" w:rsidP="4358E2E1" w:rsidRDefault="4358E2E1" w14:paraId="21606C38" w14:textId="43C901FF">
      <w:pPr>
        <w:spacing w:after="0"/>
        <w:rPr>
          <w:rFonts w:ascii="Arial" w:hAnsi="Arial" w:eastAsia="Arial" w:cs="Arial"/>
          <w:color w:val="000000" w:themeColor="text1"/>
        </w:rPr>
      </w:pPr>
      <w:r w:rsidRPr="4358E2E1">
        <w:rPr>
          <w:rFonts w:ascii="Arial" w:hAnsi="Arial" w:eastAsia="Arial" w:cs="Arial"/>
          <w:color w:val="000000" w:themeColor="text1"/>
        </w:rPr>
        <w:t xml:space="preserve">In comparison, the Duke University Medical Center Library Evidence Pyramid, has animal and laboratory studies at the base of the pyramid and meta-analysis at the top. The </w:t>
      </w:r>
      <w:proofErr w:type="gramStart"/>
      <w:r w:rsidRPr="4358E2E1">
        <w:rPr>
          <w:rFonts w:ascii="Arial" w:hAnsi="Arial" w:eastAsia="Arial" w:cs="Arial"/>
          <w:color w:val="000000" w:themeColor="text1"/>
        </w:rPr>
        <w:t>Duke</w:t>
      </w:r>
      <w:proofErr w:type="gramEnd"/>
      <w:r w:rsidRPr="4358E2E1">
        <w:rPr>
          <w:rFonts w:ascii="Arial" w:hAnsi="Arial" w:eastAsia="Arial" w:cs="Arial"/>
          <w:color w:val="000000" w:themeColor="text1"/>
        </w:rPr>
        <w:t xml:space="preserve"> pyramid also notes the differences between observational studies, experimental studies and synthesized evidence.</w:t>
      </w:r>
    </w:p>
    <w:p w:rsidR="0042200F" w:rsidP="4358E2E1" w:rsidRDefault="0042200F" w14:paraId="3BAD8085" w14:textId="77777777">
      <w:pPr>
        <w:spacing w:after="0"/>
        <w:rPr>
          <w:rFonts w:ascii="Arial" w:hAnsi="Arial" w:eastAsia="Arial" w:cs="Arial"/>
          <w:color w:val="000000" w:themeColor="text1"/>
        </w:rPr>
      </w:pPr>
    </w:p>
    <w:p w:rsidRPr="0042200F" w:rsidR="0042200F" w:rsidP="00CF20ED" w:rsidRDefault="00CF20ED" w14:paraId="4795AA7F" w14:textId="55AF4335">
      <w:pPr>
        <w:spacing w:after="0"/>
        <w:rPr>
          <w:rFonts w:ascii="Arial" w:hAnsi="Arial" w:cs="Arial"/>
        </w:rPr>
      </w:pPr>
      <w:r>
        <w:rPr>
          <w:rFonts w:ascii="Arial" w:hAnsi="Arial" w:cs="Arial"/>
        </w:rPr>
        <w:t>[</w:t>
      </w:r>
      <w:r w:rsidR="0042200F">
        <w:rPr>
          <w:rFonts w:ascii="Arial" w:hAnsi="Arial" w:cs="Arial"/>
        </w:rPr>
        <w:t xml:space="preserve">Image of the </w:t>
      </w:r>
      <w:r w:rsidRPr="0042200F" w:rsidR="0042200F">
        <w:rPr>
          <w:rFonts w:ascii="Arial" w:hAnsi="Arial" w:cs="Arial"/>
        </w:rPr>
        <w:t>Duke Evidence Pyramid: An illustration of the Evidence Pyramid by Duke University Medical Center Library and Archives,</w:t>
      </w:r>
      <w:r w:rsidR="0042200F">
        <w:rPr>
          <w:rFonts w:ascii="Arial" w:hAnsi="Arial" w:cs="Arial"/>
        </w:rPr>
        <w:t xml:space="preserve"> highlighting the quality of information,</w:t>
      </w:r>
      <w:r w:rsidRPr="0042200F" w:rsidR="0042200F">
        <w:rPr>
          <w:rFonts w:ascii="Arial" w:hAnsi="Arial" w:cs="Arial"/>
        </w:rPr>
        <w:t xml:space="preserve"> progressing from observational studies through experimental studies to synthesized evidence.</w:t>
      </w:r>
      <w:r>
        <w:rPr>
          <w:rFonts w:ascii="Arial" w:hAnsi="Arial" w:cs="Arial"/>
        </w:rPr>
        <w:t>]</w:t>
      </w:r>
    </w:p>
    <w:p w:rsidRPr="0042200F" w:rsidR="4358E2E1" w:rsidP="4358E2E1" w:rsidRDefault="4358E2E1" w14:paraId="570DED4D" w14:textId="0E252BCF">
      <w:pPr>
        <w:spacing w:after="0"/>
        <w:rPr>
          <w:rFonts w:ascii="Arial" w:hAnsi="Arial" w:cs="Arial"/>
        </w:rPr>
      </w:pPr>
    </w:p>
    <w:p w:rsidRPr="003D1E4C" w:rsidR="00423924" w:rsidP="00206F2A" w:rsidRDefault="00B70E13" w14:paraId="54DCD29C" w14:textId="3150DD98">
      <w:pPr>
        <w:spacing w:after="0"/>
        <w:rPr>
          <w:rFonts w:ascii="Arial" w:hAnsi="Arial" w:cs="Arial"/>
        </w:rPr>
      </w:pPr>
      <w:r w:rsidRPr="00B70E13">
        <w:rPr>
          <w:rFonts w:ascii="Arial" w:hAnsi="Arial" w:cs="Arial"/>
        </w:rPr>
        <w:lastRenderedPageBreak/>
        <w:t xml:space="preserve">What is important with any </w:t>
      </w:r>
      <w:proofErr w:type="gramStart"/>
      <w:r w:rsidRPr="00B70E13">
        <w:rPr>
          <w:rFonts w:ascii="Arial" w:hAnsi="Arial" w:cs="Arial"/>
        </w:rPr>
        <w:t>evidence</w:t>
      </w:r>
      <w:proofErr w:type="gramEnd"/>
      <w:r w:rsidRPr="00B70E13">
        <w:rPr>
          <w:rFonts w:ascii="Arial" w:hAnsi="Arial" w:cs="Arial"/>
        </w:rPr>
        <w:t xml:space="preserve"> taxonomy illustrating levels or hierarchies is that there is a distinction between the types of literature and synthesis of research reflecti</w:t>
      </w:r>
      <w:r w:rsidR="00A15752">
        <w:rPr>
          <w:rFonts w:ascii="Arial" w:hAnsi="Arial" w:cs="Arial"/>
        </w:rPr>
        <w:t xml:space="preserve">ve of </w:t>
      </w:r>
      <w:r w:rsidRPr="00B70E13">
        <w:rPr>
          <w:rFonts w:ascii="Arial" w:hAnsi="Arial" w:cs="Arial"/>
        </w:rPr>
        <w:t>the strength of the research. In terms of evidence, the synthesis of research studies is considered to provide higher evidence. Evidence syntheses, like systematic reviews and meta-analysis, are often used in establishing the standard of care or considered as the “gold standard” of practice. DiCenso, Bayley, and Haynes, further reinforce the value of syntheses of studies, synopses of syntheses, and even summaries of evidence in their</w:t>
      </w:r>
      <w:r w:rsidR="00E23214">
        <w:rPr>
          <w:rFonts w:ascii="Arial" w:hAnsi="Arial" w:cs="Arial"/>
        </w:rPr>
        <w:t xml:space="preserve"> 6S</w:t>
      </w:r>
      <w:r w:rsidRPr="00B70E13">
        <w:rPr>
          <w:rFonts w:ascii="Arial" w:hAnsi="Arial" w:cs="Arial"/>
        </w:rPr>
        <w:t xml:space="preserve"> Pyramid of </w:t>
      </w:r>
      <w:proofErr w:type="spellStart"/>
      <w:r w:rsidRPr="00B70E13">
        <w:rPr>
          <w:rFonts w:ascii="Arial" w:hAnsi="Arial" w:cs="Arial"/>
        </w:rPr>
        <w:t>Preappraised</w:t>
      </w:r>
      <w:proofErr w:type="spellEnd"/>
      <w:r w:rsidRPr="00B70E13">
        <w:rPr>
          <w:rFonts w:ascii="Arial" w:hAnsi="Arial" w:cs="Arial"/>
        </w:rPr>
        <w:t xml:space="preserve"> Evidence.</w:t>
      </w:r>
    </w:p>
    <w:p w:rsidR="0017649D" w:rsidP="0653708B" w:rsidRDefault="0017649D" w14:paraId="34763FFA" w14:textId="77777777">
      <w:pPr>
        <w:spacing w:after="0"/>
        <w:rPr>
          <w:rFonts w:ascii="Arial" w:hAnsi="Arial" w:eastAsia="Arial" w:cs="Arial"/>
          <w:color w:val="000000" w:themeColor="text1"/>
        </w:rPr>
      </w:pPr>
    </w:p>
    <w:p w:rsidR="00E23214" w:rsidP="00CF20ED" w:rsidRDefault="00CF20ED" w14:paraId="137DB9D3" w14:textId="32A1640F">
      <w:pPr>
        <w:spacing w:after="0"/>
        <w:rPr>
          <w:rFonts w:ascii="Arial" w:hAnsi="Arial" w:eastAsia="Arial" w:cs="Arial"/>
          <w:color w:val="000000" w:themeColor="text1"/>
        </w:rPr>
      </w:pPr>
      <w:r>
        <w:rPr>
          <w:rFonts w:ascii="Arial" w:hAnsi="Arial" w:eastAsia="Arial" w:cs="Arial"/>
          <w:color w:val="000000" w:themeColor="text1"/>
        </w:rPr>
        <w:t>[</w:t>
      </w:r>
      <w:r w:rsidR="00E23214">
        <w:rPr>
          <w:rFonts w:ascii="Arial" w:hAnsi="Arial" w:eastAsia="Arial" w:cs="Arial"/>
          <w:color w:val="000000" w:themeColor="text1"/>
        </w:rPr>
        <w:t xml:space="preserve">Image of 6S Pyramid of </w:t>
      </w:r>
      <w:proofErr w:type="spellStart"/>
      <w:r w:rsidR="00E23214">
        <w:rPr>
          <w:rFonts w:ascii="Arial" w:hAnsi="Arial" w:eastAsia="Arial" w:cs="Arial"/>
          <w:color w:val="000000" w:themeColor="text1"/>
        </w:rPr>
        <w:t>Preappraised</w:t>
      </w:r>
      <w:proofErr w:type="spellEnd"/>
      <w:r w:rsidR="00E23214">
        <w:rPr>
          <w:rFonts w:ascii="Arial" w:hAnsi="Arial" w:eastAsia="Arial" w:cs="Arial"/>
          <w:color w:val="000000" w:themeColor="text1"/>
        </w:rPr>
        <w:t xml:space="preserve"> Evidence: </w:t>
      </w:r>
      <w:r w:rsidRPr="00E23214" w:rsidR="00E23214">
        <w:rPr>
          <w:rFonts w:ascii="Arial" w:hAnsi="Arial" w:eastAsia="Arial" w:cs="Arial"/>
          <w:color w:val="000000" w:themeColor="text1"/>
        </w:rPr>
        <w:t xml:space="preserve">Image of the DiCenso, Bayley, Haynes 6S Hierarchy Pyramid of </w:t>
      </w:r>
      <w:proofErr w:type="spellStart"/>
      <w:r w:rsidRPr="00E23214" w:rsidR="00E23214">
        <w:rPr>
          <w:rFonts w:ascii="Arial" w:hAnsi="Arial" w:eastAsia="Arial" w:cs="Arial"/>
          <w:color w:val="000000" w:themeColor="text1"/>
        </w:rPr>
        <w:t>Preappraised</w:t>
      </w:r>
      <w:proofErr w:type="spellEnd"/>
      <w:r w:rsidRPr="00E23214" w:rsidR="00E23214">
        <w:rPr>
          <w:rFonts w:ascii="Arial" w:hAnsi="Arial" w:eastAsia="Arial" w:cs="Arial"/>
          <w:color w:val="000000" w:themeColor="text1"/>
        </w:rPr>
        <w:t xml:space="preserve"> Evidence, moving from </w:t>
      </w:r>
      <w:r w:rsidR="00E23214">
        <w:rPr>
          <w:rFonts w:ascii="Arial" w:hAnsi="Arial" w:eastAsia="Arial" w:cs="Arial"/>
          <w:color w:val="000000" w:themeColor="text1"/>
        </w:rPr>
        <w:t xml:space="preserve">original </w:t>
      </w:r>
      <w:r w:rsidRPr="00E23214" w:rsidR="00E23214">
        <w:rPr>
          <w:rFonts w:ascii="Arial" w:hAnsi="Arial" w:eastAsia="Arial" w:cs="Arial"/>
          <w:color w:val="000000" w:themeColor="text1"/>
        </w:rPr>
        <w:t xml:space="preserve">studies at the base </w:t>
      </w:r>
      <w:r w:rsidR="00E23214">
        <w:rPr>
          <w:rFonts w:ascii="Arial" w:hAnsi="Arial" w:eastAsia="Arial" w:cs="Arial"/>
          <w:color w:val="000000" w:themeColor="text1"/>
        </w:rPr>
        <w:t xml:space="preserve">through </w:t>
      </w:r>
      <w:r w:rsidRPr="00E23214" w:rsidR="00E23214">
        <w:rPr>
          <w:rFonts w:ascii="Arial" w:hAnsi="Arial" w:eastAsia="Arial" w:cs="Arial"/>
          <w:color w:val="000000" w:themeColor="text1"/>
        </w:rPr>
        <w:t>systems at the top</w:t>
      </w:r>
      <w:r w:rsidR="00E23214">
        <w:rPr>
          <w:rFonts w:ascii="Arial" w:hAnsi="Arial" w:eastAsia="Arial" w:cs="Arial"/>
          <w:color w:val="000000" w:themeColor="text1"/>
        </w:rPr>
        <w:t>, with examples of sources for each represented “S” in the pyramid.</w:t>
      </w:r>
      <w:r>
        <w:rPr>
          <w:rFonts w:ascii="Arial" w:hAnsi="Arial" w:eastAsia="Arial" w:cs="Arial"/>
          <w:color w:val="000000" w:themeColor="text1"/>
        </w:rPr>
        <w:t>]</w:t>
      </w:r>
    </w:p>
    <w:p w:rsidR="00E23214" w:rsidP="0653708B" w:rsidRDefault="00E23214" w14:paraId="794EE7AC" w14:textId="77777777">
      <w:pPr>
        <w:spacing w:after="0"/>
        <w:rPr>
          <w:rFonts w:ascii="Arial" w:hAnsi="Arial" w:eastAsia="Arial" w:cs="Arial"/>
          <w:color w:val="000000" w:themeColor="text1"/>
        </w:rPr>
      </w:pPr>
    </w:p>
    <w:p w:rsidR="00E23214" w:rsidP="0653708B" w:rsidRDefault="00E23214" w14:paraId="137E3A73" w14:textId="77777777">
      <w:pPr>
        <w:spacing w:after="0"/>
        <w:rPr>
          <w:rFonts w:ascii="Arial" w:hAnsi="Arial" w:eastAsia="Arial" w:cs="Arial"/>
          <w:color w:val="000000" w:themeColor="text1"/>
        </w:rPr>
      </w:pPr>
    </w:p>
    <w:p w:rsidR="0017649D" w:rsidP="0017649D" w:rsidRDefault="003D1E4C" w14:paraId="6FB9C09F" w14:textId="60358625">
      <w:pPr>
        <w:spacing w:after="0"/>
        <w:rPr>
          <w:rFonts w:ascii="Arial" w:hAnsi="Arial" w:eastAsia="Arial" w:cs="Arial"/>
          <w:color w:val="000000" w:themeColor="text1"/>
        </w:rPr>
      </w:pPr>
      <w:r>
        <w:rPr>
          <w:rFonts w:ascii="Arial" w:hAnsi="Arial" w:eastAsia="Arial" w:cs="Arial"/>
          <w:color w:val="000000" w:themeColor="text1"/>
        </w:rPr>
        <w:t>In some taxonomies, evidence is</w:t>
      </w:r>
      <w:r w:rsidRPr="0017649D" w:rsidR="0017649D">
        <w:rPr>
          <w:rFonts w:ascii="Arial" w:hAnsi="Arial" w:eastAsia="Arial" w:cs="Arial"/>
          <w:color w:val="000000" w:themeColor="text1"/>
        </w:rPr>
        <w:t xml:space="preserve"> presented as “grades,” like the recommendation grades outlined by the United States Preventive Services Task Force that considers the certainty of benefit of a service</w:t>
      </w:r>
      <w:r w:rsidR="00B00E47">
        <w:rPr>
          <w:rFonts w:ascii="Arial" w:hAnsi="Arial" w:eastAsia="Arial" w:cs="Arial"/>
          <w:color w:val="000000" w:themeColor="text1"/>
        </w:rPr>
        <w:t xml:space="preserve"> or prevention method</w:t>
      </w:r>
      <w:r w:rsidRPr="0017649D" w:rsidR="0017649D">
        <w:rPr>
          <w:rFonts w:ascii="Arial" w:hAnsi="Arial" w:eastAsia="Arial" w:cs="Arial"/>
          <w:color w:val="000000" w:themeColor="text1"/>
        </w:rPr>
        <w:t>, balanced against the potential harms of the same service.</w:t>
      </w:r>
      <w:r w:rsidR="00975011">
        <w:rPr>
          <w:rFonts w:ascii="Arial" w:hAnsi="Arial" w:eastAsia="Arial" w:cs="Arial"/>
          <w:color w:val="000000" w:themeColor="text1"/>
        </w:rPr>
        <w:t xml:space="preserve"> An “A” grade represents a “high certainty that the net benefit of the service is substantial,” whereas an “D” grade recommends against the service due to a “moderate or high certainty that the service has no net benefit or that the harms outweigh the benefits.”</w:t>
      </w:r>
    </w:p>
    <w:p w:rsidR="00170006" w:rsidP="0017649D" w:rsidRDefault="00170006" w14:paraId="3BC581C7" w14:textId="77777777">
      <w:pPr>
        <w:spacing w:after="0"/>
        <w:rPr>
          <w:rFonts w:ascii="Arial" w:hAnsi="Arial" w:eastAsia="Arial" w:cs="Arial"/>
          <w:color w:val="000000" w:themeColor="text1"/>
        </w:rPr>
      </w:pPr>
    </w:p>
    <w:p w:rsidR="005A2C95" w:rsidP="00CF20ED" w:rsidRDefault="00CF20ED" w14:paraId="40AFCD16" w14:textId="3198F8C3">
      <w:pPr>
        <w:spacing w:after="0"/>
        <w:rPr>
          <w:rFonts w:ascii="Arial" w:hAnsi="Arial" w:eastAsia="Arial" w:cs="Arial"/>
          <w:color w:val="000000" w:themeColor="text1"/>
        </w:rPr>
      </w:pPr>
      <w:r>
        <w:rPr>
          <w:rFonts w:ascii="Arial" w:hAnsi="Arial" w:eastAsia="Arial" w:cs="Arial"/>
          <w:color w:val="000000" w:themeColor="text1"/>
        </w:rPr>
        <w:t>[</w:t>
      </w:r>
      <w:r w:rsidR="005A2C95">
        <w:rPr>
          <w:rFonts w:ascii="Arial" w:hAnsi="Arial" w:eastAsia="Arial" w:cs="Arial"/>
          <w:color w:val="000000" w:themeColor="text1"/>
        </w:rPr>
        <w:t xml:space="preserve">Table image of USPSTF Recommendations: </w:t>
      </w:r>
      <w:r w:rsidRPr="005A2C95" w:rsidR="005A2C95">
        <w:rPr>
          <w:rFonts w:ascii="Arial" w:hAnsi="Arial" w:eastAsia="Arial" w:cs="Arial"/>
          <w:color w:val="000000" w:themeColor="text1"/>
        </w:rPr>
        <w:t>Table of US Preventative Services Task Force Recommendations of Services, starting with high certainty that the net benefit is substantial, Grade A, through recommendations against, Grade D, and insufficient evidence, Grade I.</w:t>
      </w:r>
      <w:r>
        <w:rPr>
          <w:rFonts w:ascii="Arial" w:hAnsi="Arial" w:eastAsia="Arial" w:cs="Arial"/>
          <w:color w:val="000000" w:themeColor="text1"/>
        </w:rPr>
        <w:t>]</w:t>
      </w:r>
    </w:p>
    <w:p w:rsidR="005A2C95" w:rsidP="005A2C95" w:rsidRDefault="005A2C95" w14:paraId="3D4FA2EF" w14:textId="77777777">
      <w:pPr>
        <w:spacing w:after="0"/>
        <w:ind w:left="720"/>
        <w:rPr>
          <w:rFonts w:ascii="Arial" w:hAnsi="Arial" w:eastAsia="Arial" w:cs="Arial"/>
          <w:color w:val="000000" w:themeColor="text1"/>
        </w:rPr>
      </w:pPr>
    </w:p>
    <w:p w:rsidR="00170006" w:rsidP="0017649D" w:rsidRDefault="00170006" w14:paraId="48B519B3" w14:textId="6FDADFBC">
      <w:pPr>
        <w:spacing w:after="0"/>
        <w:rPr>
          <w:rFonts w:ascii="Arial" w:hAnsi="Arial" w:eastAsia="Arial" w:cs="Arial"/>
          <w:color w:val="000000" w:themeColor="text1"/>
        </w:rPr>
      </w:pPr>
      <w:r w:rsidRPr="0DE5B759" w:rsidR="0DE5B759">
        <w:rPr>
          <w:rFonts w:ascii="Arial" w:hAnsi="Arial" w:eastAsia="Arial" w:cs="Arial"/>
          <w:color w:val="000000" w:themeColor="text1" w:themeTint="FF" w:themeShade="FF"/>
        </w:rPr>
        <w:t>However, the Strength of Recommendation Taxonomy, also known as SORT, defines the grades “A,” “B,” and “C,” differently. SORT recommendations focus on the consistency of the recommendation and the quality of patient-oriented evidence, that is, evidence that matters to patients, such as “morbidity, mortality, symptom improvement, cost reduction, and quality of life.”</w:t>
      </w:r>
    </w:p>
    <w:p w:rsidR="00355831" w:rsidP="0017649D" w:rsidRDefault="00355831" w14:paraId="06EB50A1" w14:textId="77777777">
      <w:pPr>
        <w:spacing w:after="0"/>
        <w:rPr>
          <w:rFonts w:ascii="Arial" w:hAnsi="Arial" w:eastAsia="Arial" w:cs="Arial"/>
          <w:color w:val="000000" w:themeColor="text1"/>
        </w:rPr>
      </w:pPr>
    </w:p>
    <w:p w:rsidR="00355831" w:rsidP="00CF20ED" w:rsidRDefault="00CF20ED" w14:paraId="4768AFE5" w14:textId="1E823B94">
      <w:pPr>
        <w:spacing w:after="0"/>
        <w:rPr>
          <w:rFonts w:ascii="Arial" w:hAnsi="Arial" w:eastAsia="Arial" w:cs="Arial"/>
          <w:color w:val="000000" w:themeColor="text1"/>
        </w:rPr>
      </w:pPr>
      <w:r>
        <w:rPr>
          <w:rFonts w:ascii="Arial" w:hAnsi="Arial" w:eastAsia="Arial" w:cs="Arial"/>
          <w:color w:val="000000" w:themeColor="text1"/>
        </w:rPr>
        <w:t>[</w:t>
      </w:r>
      <w:r w:rsidR="00355831">
        <w:rPr>
          <w:rFonts w:ascii="Arial" w:hAnsi="Arial" w:eastAsia="Arial" w:cs="Arial"/>
          <w:color w:val="000000" w:themeColor="text1"/>
        </w:rPr>
        <w:t xml:space="preserve">Table image of SORT: </w:t>
      </w:r>
      <w:r w:rsidRPr="00355831" w:rsidR="00355831">
        <w:rPr>
          <w:rFonts w:ascii="Arial" w:hAnsi="Arial" w:eastAsia="Arial" w:cs="Arial"/>
          <w:color w:val="000000" w:themeColor="text1"/>
        </w:rPr>
        <w:t>Recommendation Taxonomy (SORT) table representing grades A, B, and C, based on consistency or inconsistency of evidence, or consensus, disease-orientated evidence.</w:t>
      </w:r>
      <w:r>
        <w:rPr>
          <w:rFonts w:ascii="Arial" w:hAnsi="Arial" w:eastAsia="Arial" w:cs="Arial"/>
          <w:color w:val="000000" w:themeColor="text1"/>
        </w:rPr>
        <w:t>]</w:t>
      </w:r>
    </w:p>
    <w:p w:rsidR="00136B9F" w:rsidP="0017649D" w:rsidRDefault="00136B9F" w14:paraId="4C02949B" w14:textId="77777777">
      <w:pPr>
        <w:spacing w:after="0"/>
        <w:rPr>
          <w:rFonts w:ascii="Arial" w:hAnsi="Arial" w:eastAsia="Arial" w:cs="Arial"/>
          <w:color w:val="000000" w:themeColor="text1"/>
        </w:rPr>
      </w:pPr>
    </w:p>
    <w:p w:rsidRPr="00403448" w:rsidR="00403448" w:rsidP="00403448" w:rsidRDefault="00403448" w14:paraId="28D8BA2D" w14:textId="57C54D9E">
      <w:pPr>
        <w:spacing w:after="0"/>
        <w:rPr>
          <w:rFonts w:ascii="Arial" w:hAnsi="Arial" w:eastAsia="Arial" w:cs="Arial"/>
          <w:color w:val="000000" w:themeColor="text1"/>
        </w:rPr>
      </w:pPr>
      <w:r w:rsidRPr="00403448">
        <w:rPr>
          <w:rFonts w:ascii="Arial" w:hAnsi="Arial" w:eastAsia="Arial" w:cs="Arial"/>
          <w:color w:val="000000" w:themeColor="text1"/>
        </w:rPr>
        <w:t>Recognizing the differences in what the evidence taxonomy represents is essential for understanding the significance or confidence of the evidence being reported on.</w:t>
      </w:r>
    </w:p>
    <w:p w:rsidR="00403448" w:rsidP="0017649D" w:rsidRDefault="00403448" w14:paraId="404F0DF8" w14:textId="35FAAA88">
      <w:pPr>
        <w:spacing w:after="0"/>
        <w:rPr>
          <w:rFonts w:ascii="Arial" w:hAnsi="Arial" w:eastAsia="Arial" w:cs="Arial"/>
          <w:color w:val="000000" w:themeColor="text1"/>
        </w:rPr>
      </w:pPr>
    </w:p>
    <w:p w:rsidR="0017649D" w:rsidP="0653708B" w:rsidRDefault="00403448" w14:paraId="734B84B1" w14:textId="33406CFE">
      <w:pPr>
        <w:spacing w:after="0"/>
        <w:rPr>
          <w:rFonts w:ascii="Arial" w:hAnsi="Arial" w:eastAsia="Arial" w:cs="Arial"/>
          <w:color w:val="000000" w:themeColor="text1"/>
        </w:rPr>
      </w:pPr>
      <w:r>
        <w:rPr>
          <w:rFonts w:ascii="Arial" w:hAnsi="Arial" w:eastAsia="Arial" w:cs="Arial"/>
          <w:color w:val="000000" w:themeColor="text1"/>
        </w:rPr>
        <w:t xml:space="preserve">A more recent taxonomy, the Evidence Funnel, </w:t>
      </w:r>
      <w:r w:rsidR="00B44F82">
        <w:rPr>
          <w:rFonts w:ascii="Arial" w:hAnsi="Arial" w:eastAsia="Arial" w:cs="Arial"/>
          <w:color w:val="000000" w:themeColor="text1"/>
        </w:rPr>
        <w:t>developed by the University of Iowa Hospitals and Clinics</w:t>
      </w:r>
      <w:r>
        <w:rPr>
          <w:rFonts w:ascii="Arial" w:hAnsi="Arial" w:eastAsia="Arial" w:cs="Arial"/>
          <w:color w:val="000000" w:themeColor="text1"/>
        </w:rPr>
        <w:t xml:space="preserve">, </w:t>
      </w:r>
      <w:r w:rsidR="00B44F82">
        <w:rPr>
          <w:rFonts w:ascii="Arial" w:hAnsi="Arial" w:eastAsia="Arial" w:cs="Arial"/>
          <w:color w:val="000000" w:themeColor="text1"/>
        </w:rPr>
        <w:t>focus</w:t>
      </w:r>
      <w:r>
        <w:rPr>
          <w:rFonts w:ascii="Arial" w:hAnsi="Arial" w:eastAsia="Arial" w:cs="Arial"/>
          <w:color w:val="000000" w:themeColor="text1"/>
        </w:rPr>
        <w:t>es</w:t>
      </w:r>
      <w:r w:rsidR="00B44F82">
        <w:rPr>
          <w:rFonts w:ascii="Arial" w:hAnsi="Arial" w:eastAsia="Arial" w:cs="Arial"/>
          <w:color w:val="000000" w:themeColor="text1"/>
        </w:rPr>
        <w:t xml:space="preserve"> on the evaluation and application of the evidence, moving from the quality of research studies</w:t>
      </w:r>
      <w:r w:rsidR="00A15752">
        <w:rPr>
          <w:rFonts w:ascii="Arial" w:hAnsi="Arial" w:eastAsia="Arial" w:cs="Arial"/>
          <w:color w:val="000000" w:themeColor="text1"/>
        </w:rPr>
        <w:t xml:space="preserve">, </w:t>
      </w:r>
      <w:r>
        <w:rPr>
          <w:rFonts w:ascii="Arial" w:hAnsi="Arial" w:eastAsia="Arial" w:cs="Arial"/>
          <w:color w:val="000000" w:themeColor="text1"/>
        </w:rPr>
        <w:t xml:space="preserve">the </w:t>
      </w:r>
      <w:r w:rsidR="00B44F82">
        <w:rPr>
          <w:rFonts w:ascii="Arial" w:hAnsi="Arial" w:eastAsia="Arial" w:cs="Arial"/>
          <w:color w:val="000000" w:themeColor="text1"/>
        </w:rPr>
        <w:t>strength of the recommendations</w:t>
      </w:r>
      <w:r w:rsidR="00A15752">
        <w:rPr>
          <w:rFonts w:ascii="Arial" w:hAnsi="Arial" w:eastAsia="Arial" w:cs="Arial"/>
          <w:color w:val="000000" w:themeColor="text1"/>
        </w:rPr>
        <w:t>,</w:t>
      </w:r>
      <w:r w:rsidR="00B44F82">
        <w:rPr>
          <w:rFonts w:ascii="Arial" w:hAnsi="Arial" w:eastAsia="Arial" w:cs="Arial"/>
          <w:color w:val="000000" w:themeColor="text1"/>
        </w:rPr>
        <w:t xml:space="preserve"> and certainty of benefit to</w:t>
      </w:r>
      <w:r>
        <w:rPr>
          <w:rFonts w:ascii="Arial" w:hAnsi="Arial" w:eastAsia="Arial" w:cs="Arial"/>
          <w:color w:val="000000" w:themeColor="text1"/>
        </w:rPr>
        <w:t xml:space="preserve"> the resulting change in practice based on the evidence.</w:t>
      </w:r>
    </w:p>
    <w:p w:rsidR="00B305E0" w:rsidP="0653708B" w:rsidRDefault="00B305E0" w14:paraId="0CCA064B" w14:textId="77777777">
      <w:pPr>
        <w:spacing w:after="0"/>
        <w:rPr>
          <w:rFonts w:ascii="Arial" w:hAnsi="Arial" w:eastAsia="Arial" w:cs="Arial"/>
          <w:color w:val="000000" w:themeColor="text1"/>
        </w:rPr>
      </w:pPr>
    </w:p>
    <w:p w:rsidR="00355831" w:rsidP="00CF20ED" w:rsidRDefault="00CF20ED" w14:paraId="63318A5F" w14:textId="43F9E08E">
      <w:pPr>
        <w:spacing w:after="0"/>
        <w:rPr>
          <w:rFonts w:ascii="Arial" w:hAnsi="Arial" w:eastAsia="Arial" w:cs="Arial"/>
          <w:color w:val="000000" w:themeColor="text1"/>
        </w:rPr>
      </w:pPr>
      <w:r>
        <w:rPr>
          <w:rFonts w:ascii="Arial" w:hAnsi="Arial" w:eastAsia="Arial" w:cs="Arial"/>
          <w:color w:val="000000" w:themeColor="text1"/>
        </w:rPr>
        <w:t>[</w:t>
      </w:r>
      <w:r w:rsidR="00656E14">
        <w:rPr>
          <w:rFonts w:ascii="Arial" w:hAnsi="Arial" w:eastAsia="Arial" w:cs="Arial"/>
          <w:color w:val="000000" w:themeColor="text1"/>
        </w:rPr>
        <w:t xml:space="preserve">Image of the Evidence Funnel: </w:t>
      </w:r>
      <w:r w:rsidRPr="00656E14" w:rsidR="00656E14">
        <w:rPr>
          <w:rFonts w:ascii="Arial" w:hAnsi="Arial" w:eastAsia="Arial" w:cs="Arial"/>
          <w:color w:val="000000" w:themeColor="text1"/>
        </w:rPr>
        <w:t>An image of the Evidence Funnel from the University of Iowa Hospitals and Clinics inverting a standard evidence pyramid into a funnel, narrowing the quality of research and strength of recommendations to a point of practice change through evaluation and application of the evidence.</w:t>
      </w:r>
      <w:r>
        <w:rPr>
          <w:rFonts w:ascii="Arial" w:hAnsi="Arial" w:eastAsia="Arial" w:cs="Arial"/>
          <w:color w:val="000000" w:themeColor="text1"/>
        </w:rPr>
        <w:t>]</w:t>
      </w:r>
    </w:p>
    <w:p w:rsidR="00656E14" w:rsidP="00355831" w:rsidRDefault="00656E14" w14:paraId="19B0725B" w14:textId="77777777">
      <w:pPr>
        <w:spacing w:after="0"/>
        <w:ind w:left="720"/>
        <w:rPr>
          <w:rFonts w:ascii="Arial" w:hAnsi="Arial" w:eastAsia="Arial" w:cs="Arial"/>
          <w:color w:val="000000" w:themeColor="text1"/>
        </w:rPr>
      </w:pPr>
    </w:p>
    <w:p w:rsidR="00C82B68" w:rsidP="0653708B" w:rsidRDefault="7F5003CB" w14:paraId="01FA4C9D" w14:textId="639AF448">
      <w:pPr>
        <w:spacing w:after="0"/>
        <w:rPr>
          <w:rFonts w:ascii="Arial" w:hAnsi="Arial" w:eastAsia="Arial" w:cs="Arial"/>
          <w:color w:val="000000" w:themeColor="text1"/>
        </w:rPr>
      </w:pPr>
      <w:r w:rsidRPr="0D707EEE" w:rsidR="0D707EEE">
        <w:rPr>
          <w:rFonts w:ascii="Arial" w:hAnsi="Arial" w:eastAsia="Arial" w:cs="Arial"/>
          <w:color w:val="000000" w:themeColor="text1" w:themeTint="FF" w:themeShade="FF"/>
        </w:rPr>
        <w:t xml:space="preserve">Regardless of how the relationship between research studies is described, it is important to be mindful of what each taxonomy </w:t>
      </w:r>
      <w:r w:rsidRPr="0D707EEE" w:rsidR="0D707EEE">
        <w:rPr>
          <w:rFonts w:ascii="Arial" w:hAnsi="Arial" w:eastAsia="Arial" w:cs="Arial"/>
          <w:color w:val="000000" w:themeColor="text1" w:themeTint="FF" w:themeShade="FF"/>
        </w:rPr>
        <w:t>represents</w:t>
      </w:r>
      <w:r w:rsidRPr="0D707EEE" w:rsidR="0D707EEE">
        <w:rPr>
          <w:rFonts w:ascii="Arial" w:hAnsi="Arial" w:eastAsia="Arial" w:cs="Arial"/>
          <w:color w:val="000000" w:themeColor="text1" w:themeTint="FF" w:themeShade="FF"/>
        </w:rPr>
        <w:t xml:space="preserve"> and how the evidence is being characterized. Additionally, being aware that a particular clinical tool or resource may refer to more than one </w:t>
      </w:r>
      <w:r w:rsidRPr="0D707EEE" w:rsidR="0D707EEE">
        <w:rPr>
          <w:rFonts w:ascii="Arial" w:hAnsi="Arial" w:eastAsia="Arial" w:cs="Arial"/>
        </w:rPr>
        <w:t xml:space="preserve">taxonomy or level of evidence is equally important. </w:t>
      </w:r>
      <w:r w:rsidRPr="0D707EEE" w:rsidR="0D707EEE">
        <w:rPr>
          <w:rFonts w:ascii="Arial" w:hAnsi="Arial" w:eastAsia="Arial" w:cs="Arial"/>
          <w:color w:val="000000" w:themeColor="text1" w:themeTint="FF" w:themeShade="FF"/>
        </w:rPr>
        <w:t>For example, Essential Evidence Plus, an evidence-based reference tool that includes evidence-graded recommendations, makes use of four different evidence grading taxonomies– US Prevention Services Task Force, SORT, Centre for Evidence-Based Medicine, and GRADE. Also, from one clinical practice guideline to another, different evidence taxonomies may be applied to the recommendations. Thus, it is essential to recognize which evidence taxonomy is being referenced in a clinical tool or resource to be able to accurately interpret the recommendations provided for clinical practice.</w:t>
      </w:r>
    </w:p>
    <w:p w:rsidRPr="00BE0BDC" w:rsidR="00C82B68" w:rsidP="0653708B" w:rsidRDefault="00C82B68" w14:paraId="6405AB92" w14:textId="77777777">
      <w:pPr>
        <w:spacing w:after="0"/>
        <w:rPr>
          <w:rFonts w:ascii="Arial" w:hAnsi="Arial" w:eastAsia="Arial" w:cs="Arial"/>
        </w:rPr>
      </w:pPr>
    </w:p>
    <w:p w:rsidRPr="003F45A1" w:rsidR="003F45A1" w:rsidP="003F45A1" w:rsidRDefault="003F45A1" w14:paraId="38A9F148" w14:textId="77777777">
      <w:pPr>
        <w:spacing w:after="0"/>
        <w:rPr>
          <w:rFonts w:ascii="Arial" w:hAnsi="Arial" w:cs="Arial"/>
        </w:rPr>
      </w:pPr>
      <w:r w:rsidRPr="003F45A1">
        <w:rPr>
          <w:rFonts w:ascii="Arial" w:hAnsi="Arial" w:cs="Arial"/>
        </w:rPr>
        <w:t>While seeking the highest level of evidence is considered best practice, keep in mind that the best evidence for a particular patient situation may not be found at the top of the evidence taxonomy. In some cases, higher study types, like randomized clinical trials, are not possible due to ethical considerations in the research design, rarity of the condition or disease, or lack of original research studies. Therefore, a retrospective study or even a systematic review of retrospective studies may represent the best evidence available for the clinical situation.</w:t>
      </w:r>
    </w:p>
    <w:p w:rsidR="006E4F44" w:rsidP="00741139" w:rsidRDefault="006E4F44" w14:paraId="3D78F7B2" w14:textId="77777777">
      <w:pPr>
        <w:spacing w:after="0"/>
        <w:rPr>
          <w:rFonts w:ascii="Arial" w:hAnsi="Arial" w:cs="Arial"/>
        </w:rPr>
      </w:pPr>
    </w:p>
    <w:p w:rsidRPr="00AA6173" w:rsidR="00AA6173" w:rsidP="00AA6173" w:rsidRDefault="00AA6173" w14:paraId="61DEA5B5" w14:textId="77777777">
      <w:pPr>
        <w:spacing w:after="0"/>
        <w:rPr>
          <w:rFonts w:ascii="Arial" w:hAnsi="Arial" w:cs="Arial"/>
        </w:rPr>
      </w:pPr>
      <w:r w:rsidRPr="00AA6173">
        <w:rPr>
          <w:rFonts w:ascii="Arial" w:hAnsi="Arial" w:cs="Arial"/>
        </w:rPr>
        <w:t xml:space="preserve">This section has explored different evidence taxonomies representing the relationship between types of literature in terms of evidence, as well as the importance of recognizing which evidence taxonomy is being referenced within a specific resource or practice guideline. Additionally, this section has highlighted that the best evidence for a particular clinical situation may not be what is considered the highest level of evidence in a hierarchy.  </w:t>
      </w:r>
    </w:p>
    <w:p w:rsidR="00AA6173" w:rsidP="00741139" w:rsidRDefault="00AA6173" w14:paraId="593D8859" w14:textId="77777777">
      <w:pPr>
        <w:spacing w:after="0"/>
        <w:rPr>
          <w:rFonts w:ascii="Arial" w:hAnsi="Arial" w:cs="Arial"/>
        </w:rPr>
      </w:pPr>
    </w:p>
    <w:p w:rsidR="00C454FA" w:rsidP="00212DCE" w:rsidRDefault="00AA6173" w14:paraId="010FAF63" w14:textId="450C3811">
      <w:pPr>
        <w:rPr>
          <w:rFonts w:ascii="Arial" w:hAnsi="Arial" w:cs="Arial"/>
        </w:rPr>
      </w:pPr>
      <w:r>
        <w:rPr>
          <w:rFonts w:ascii="Arial" w:hAnsi="Arial" w:cs="Arial"/>
        </w:rPr>
        <w:t>The resources referenced in this section are</w:t>
      </w:r>
      <w:r w:rsidR="00CE3B30">
        <w:rPr>
          <w:rFonts w:ascii="Arial" w:hAnsi="Arial" w:cs="Arial"/>
        </w:rPr>
        <w:t xml:space="preserve"> provided in this reference list.</w:t>
      </w:r>
    </w:p>
    <w:sectPr w:rsidR="00C454FA">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2750C7"/>
    <w:multiLevelType w:val="hybridMultilevel"/>
    <w:tmpl w:val="37762D2E"/>
    <w:lvl w:ilvl="0" w:tplc="C8D6416E">
      <w:start w:val="1"/>
      <w:numFmt w:val="bullet"/>
      <w:lvlText w:val="•"/>
      <w:lvlJc w:val="left"/>
      <w:pPr>
        <w:tabs>
          <w:tab w:val="num" w:pos="720"/>
        </w:tabs>
        <w:ind w:left="720" w:hanging="360"/>
      </w:pPr>
      <w:rPr>
        <w:rFonts w:hint="default" w:ascii="Arial" w:hAnsi="Arial"/>
      </w:rPr>
    </w:lvl>
    <w:lvl w:ilvl="1" w:tplc="63D08E82" w:tentative="1">
      <w:start w:val="1"/>
      <w:numFmt w:val="bullet"/>
      <w:lvlText w:val="•"/>
      <w:lvlJc w:val="left"/>
      <w:pPr>
        <w:tabs>
          <w:tab w:val="num" w:pos="1440"/>
        </w:tabs>
        <w:ind w:left="1440" w:hanging="360"/>
      </w:pPr>
      <w:rPr>
        <w:rFonts w:hint="default" w:ascii="Arial" w:hAnsi="Arial"/>
      </w:rPr>
    </w:lvl>
    <w:lvl w:ilvl="2" w:tplc="B356934A" w:tentative="1">
      <w:start w:val="1"/>
      <w:numFmt w:val="bullet"/>
      <w:lvlText w:val="•"/>
      <w:lvlJc w:val="left"/>
      <w:pPr>
        <w:tabs>
          <w:tab w:val="num" w:pos="2160"/>
        </w:tabs>
        <w:ind w:left="2160" w:hanging="360"/>
      </w:pPr>
      <w:rPr>
        <w:rFonts w:hint="default" w:ascii="Arial" w:hAnsi="Arial"/>
      </w:rPr>
    </w:lvl>
    <w:lvl w:ilvl="3" w:tplc="0B94986E" w:tentative="1">
      <w:start w:val="1"/>
      <w:numFmt w:val="bullet"/>
      <w:lvlText w:val="•"/>
      <w:lvlJc w:val="left"/>
      <w:pPr>
        <w:tabs>
          <w:tab w:val="num" w:pos="2880"/>
        </w:tabs>
        <w:ind w:left="2880" w:hanging="360"/>
      </w:pPr>
      <w:rPr>
        <w:rFonts w:hint="default" w:ascii="Arial" w:hAnsi="Arial"/>
      </w:rPr>
    </w:lvl>
    <w:lvl w:ilvl="4" w:tplc="4DAC0E62" w:tentative="1">
      <w:start w:val="1"/>
      <w:numFmt w:val="bullet"/>
      <w:lvlText w:val="•"/>
      <w:lvlJc w:val="left"/>
      <w:pPr>
        <w:tabs>
          <w:tab w:val="num" w:pos="3600"/>
        </w:tabs>
        <w:ind w:left="3600" w:hanging="360"/>
      </w:pPr>
      <w:rPr>
        <w:rFonts w:hint="default" w:ascii="Arial" w:hAnsi="Arial"/>
      </w:rPr>
    </w:lvl>
    <w:lvl w:ilvl="5" w:tplc="04823706" w:tentative="1">
      <w:start w:val="1"/>
      <w:numFmt w:val="bullet"/>
      <w:lvlText w:val="•"/>
      <w:lvlJc w:val="left"/>
      <w:pPr>
        <w:tabs>
          <w:tab w:val="num" w:pos="4320"/>
        </w:tabs>
        <w:ind w:left="4320" w:hanging="360"/>
      </w:pPr>
      <w:rPr>
        <w:rFonts w:hint="default" w:ascii="Arial" w:hAnsi="Arial"/>
      </w:rPr>
    </w:lvl>
    <w:lvl w:ilvl="6" w:tplc="2BD8651E" w:tentative="1">
      <w:start w:val="1"/>
      <w:numFmt w:val="bullet"/>
      <w:lvlText w:val="•"/>
      <w:lvlJc w:val="left"/>
      <w:pPr>
        <w:tabs>
          <w:tab w:val="num" w:pos="5040"/>
        </w:tabs>
        <w:ind w:left="5040" w:hanging="360"/>
      </w:pPr>
      <w:rPr>
        <w:rFonts w:hint="default" w:ascii="Arial" w:hAnsi="Arial"/>
      </w:rPr>
    </w:lvl>
    <w:lvl w:ilvl="7" w:tplc="A0F2FBC8" w:tentative="1">
      <w:start w:val="1"/>
      <w:numFmt w:val="bullet"/>
      <w:lvlText w:val="•"/>
      <w:lvlJc w:val="left"/>
      <w:pPr>
        <w:tabs>
          <w:tab w:val="num" w:pos="5760"/>
        </w:tabs>
        <w:ind w:left="5760" w:hanging="360"/>
      </w:pPr>
      <w:rPr>
        <w:rFonts w:hint="default" w:ascii="Arial" w:hAnsi="Arial"/>
      </w:rPr>
    </w:lvl>
    <w:lvl w:ilvl="8" w:tplc="DCA09B12" w:tentative="1">
      <w:start w:val="1"/>
      <w:numFmt w:val="bullet"/>
      <w:lvlText w:val="•"/>
      <w:lvlJc w:val="left"/>
      <w:pPr>
        <w:tabs>
          <w:tab w:val="num" w:pos="6480"/>
        </w:tabs>
        <w:ind w:left="6480" w:hanging="360"/>
      </w:pPr>
      <w:rPr>
        <w:rFonts w:hint="default" w:ascii="Arial" w:hAnsi="Arial"/>
      </w:rPr>
    </w:lvl>
  </w:abstractNum>
  <w:num w:numId="1" w16cid:durableId="1076172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C11"/>
    <w:rsid w:val="0001549D"/>
    <w:rsid w:val="000606BB"/>
    <w:rsid w:val="00086174"/>
    <w:rsid w:val="000969FD"/>
    <w:rsid w:val="00097A59"/>
    <w:rsid w:val="000F2570"/>
    <w:rsid w:val="00136B9F"/>
    <w:rsid w:val="00150AAB"/>
    <w:rsid w:val="00170006"/>
    <w:rsid w:val="00170494"/>
    <w:rsid w:val="00173334"/>
    <w:rsid w:val="001759DD"/>
    <w:rsid w:val="0017649D"/>
    <w:rsid w:val="001808EA"/>
    <w:rsid w:val="001F3986"/>
    <w:rsid w:val="00206F2A"/>
    <w:rsid w:val="00212DCE"/>
    <w:rsid w:val="002742ED"/>
    <w:rsid w:val="002B5C11"/>
    <w:rsid w:val="002B7F6D"/>
    <w:rsid w:val="002D6359"/>
    <w:rsid w:val="002F4B0D"/>
    <w:rsid w:val="00321D3F"/>
    <w:rsid w:val="00344D7F"/>
    <w:rsid w:val="00354F6A"/>
    <w:rsid w:val="00355831"/>
    <w:rsid w:val="003D1E4C"/>
    <w:rsid w:val="003F24B0"/>
    <w:rsid w:val="003F45A1"/>
    <w:rsid w:val="00403448"/>
    <w:rsid w:val="0042200F"/>
    <w:rsid w:val="00423924"/>
    <w:rsid w:val="004479C6"/>
    <w:rsid w:val="00473DBC"/>
    <w:rsid w:val="00494274"/>
    <w:rsid w:val="004F38E4"/>
    <w:rsid w:val="004F6761"/>
    <w:rsid w:val="005A0044"/>
    <w:rsid w:val="005A2C95"/>
    <w:rsid w:val="005C53D8"/>
    <w:rsid w:val="005E7C23"/>
    <w:rsid w:val="005F45D2"/>
    <w:rsid w:val="00606FDD"/>
    <w:rsid w:val="0064603B"/>
    <w:rsid w:val="00656E14"/>
    <w:rsid w:val="006E4F44"/>
    <w:rsid w:val="00741139"/>
    <w:rsid w:val="00766718"/>
    <w:rsid w:val="00786DFF"/>
    <w:rsid w:val="00787E49"/>
    <w:rsid w:val="007A4501"/>
    <w:rsid w:val="00814C62"/>
    <w:rsid w:val="008604AE"/>
    <w:rsid w:val="0089711C"/>
    <w:rsid w:val="00975011"/>
    <w:rsid w:val="00975EA5"/>
    <w:rsid w:val="009866EB"/>
    <w:rsid w:val="00996974"/>
    <w:rsid w:val="009D7A3E"/>
    <w:rsid w:val="009D7CF0"/>
    <w:rsid w:val="009F0280"/>
    <w:rsid w:val="00A15752"/>
    <w:rsid w:val="00A60796"/>
    <w:rsid w:val="00AA2AA3"/>
    <w:rsid w:val="00AA6173"/>
    <w:rsid w:val="00AB587A"/>
    <w:rsid w:val="00B00E47"/>
    <w:rsid w:val="00B305E0"/>
    <w:rsid w:val="00B44F82"/>
    <w:rsid w:val="00B70E13"/>
    <w:rsid w:val="00B9198B"/>
    <w:rsid w:val="00B94D53"/>
    <w:rsid w:val="00B95735"/>
    <w:rsid w:val="00BE0BDC"/>
    <w:rsid w:val="00C454FA"/>
    <w:rsid w:val="00C63D84"/>
    <w:rsid w:val="00C82AC6"/>
    <w:rsid w:val="00C82B68"/>
    <w:rsid w:val="00CB71DC"/>
    <w:rsid w:val="00CC21AA"/>
    <w:rsid w:val="00CD0BE7"/>
    <w:rsid w:val="00CD18FE"/>
    <w:rsid w:val="00CE3B30"/>
    <w:rsid w:val="00CE52DA"/>
    <w:rsid w:val="00CF20ED"/>
    <w:rsid w:val="00CF63DF"/>
    <w:rsid w:val="00D66F12"/>
    <w:rsid w:val="00D76C58"/>
    <w:rsid w:val="00D94323"/>
    <w:rsid w:val="00D9443C"/>
    <w:rsid w:val="00E23214"/>
    <w:rsid w:val="00E54C95"/>
    <w:rsid w:val="00E84929"/>
    <w:rsid w:val="00EA5D18"/>
    <w:rsid w:val="00EB5409"/>
    <w:rsid w:val="00ED67CC"/>
    <w:rsid w:val="00EE5853"/>
    <w:rsid w:val="00F4767A"/>
    <w:rsid w:val="00F83887"/>
    <w:rsid w:val="00F97328"/>
    <w:rsid w:val="00FE234E"/>
    <w:rsid w:val="0653708B"/>
    <w:rsid w:val="0D707EEE"/>
    <w:rsid w:val="0DE5B759"/>
    <w:rsid w:val="1256BACC"/>
    <w:rsid w:val="4358E2E1"/>
    <w:rsid w:val="5C471F25"/>
    <w:rsid w:val="67A2A31A"/>
    <w:rsid w:val="77C961D8"/>
    <w:rsid w:val="7F500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3C396"/>
  <w15:chartTrackingRefBased/>
  <w15:docId w15:val="{3843D0E2-5F3B-4D52-A968-9B9FD782F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B5C1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5C1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5C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5C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5C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5C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5C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5C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5C1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B5C1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2B5C1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2B5C1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B5C1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B5C1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B5C1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B5C1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B5C1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B5C11"/>
    <w:rPr>
      <w:rFonts w:eastAsiaTheme="majorEastAsia" w:cstheme="majorBidi"/>
      <w:color w:val="272727" w:themeColor="text1" w:themeTint="D8"/>
    </w:rPr>
  </w:style>
  <w:style w:type="paragraph" w:styleId="Title">
    <w:name w:val="Title"/>
    <w:basedOn w:val="Normal"/>
    <w:next w:val="Normal"/>
    <w:link w:val="TitleChar"/>
    <w:uiPriority w:val="10"/>
    <w:qFormat/>
    <w:rsid w:val="002B5C1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B5C1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B5C1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B5C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5C11"/>
    <w:pPr>
      <w:spacing w:before="160"/>
      <w:jc w:val="center"/>
    </w:pPr>
    <w:rPr>
      <w:i/>
      <w:iCs/>
      <w:color w:val="404040" w:themeColor="text1" w:themeTint="BF"/>
    </w:rPr>
  </w:style>
  <w:style w:type="character" w:styleId="QuoteChar" w:customStyle="1">
    <w:name w:val="Quote Char"/>
    <w:basedOn w:val="DefaultParagraphFont"/>
    <w:link w:val="Quote"/>
    <w:uiPriority w:val="29"/>
    <w:rsid w:val="002B5C11"/>
    <w:rPr>
      <w:i/>
      <w:iCs/>
      <w:color w:val="404040" w:themeColor="text1" w:themeTint="BF"/>
    </w:rPr>
  </w:style>
  <w:style w:type="paragraph" w:styleId="ListParagraph">
    <w:name w:val="List Paragraph"/>
    <w:basedOn w:val="Normal"/>
    <w:uiPriority w:val="34"/>
    <w:qFormat/>
    <w:rsid w:val="002B5C11"/>
    <w:pPr>
      <w:ind w:left="720"/>
      <w:contextualSpacing/>
    </w:pPr>
  </w:style>
  <w:style w:type="character" w:styleId="IntenseEmphasis">
    <w:name w:val="Intense Emphasis"/>
    <w:basedOn w:val="DefaultParagraphFont"/>
    <w:uiPriority w:val="21"/>
    <w:qFormat/>
    <w:rsid w:val="002B5C11"/>
    <w:rPr>
      <w:i/>
      <w:iCs/>
      <w:color w:val="0F4761" w:themeColor="accent1" w:themeShade="BF"/>
    </w:rPr>
  </w:style>
  <w:style w:type="paragraph" w:styleId="IntenseQuote">
    <w:name w:val="Intense Quote"/>
    <w:basedOn w:val="Normal"/>
    <w:next w:val="Normal"/>
    <w:link w:val="IntenseQuoteChar"/>
    <w:uiPriority w:val="30"/>
    <w:qFormat/>
    <w:rsid w:val="002B5C1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B5C11"/>
    <w:rPr>
      <w:i/>
      <w:iCs/>
      <w:color w:val="0F4761" w:themeColor="accent1" w:themeShade="BF"/>
    </w:rPr>
  </w:style>
  <w:style w:type="character" w:styleId="IntenseReference">
    <w:name w:val="Intense Reference"/>
    <w:basedOn w:val="DefaultParagraphFont"/>
    <w:uiPriority w:val="32"/>
    <w:qFormat/>
    <w:rsid w:val="002B5C11"/>
    <w:rPr>
      <w:b/>
      <w:bCs/>
      <w:smallCaps/>
      <w:color w:val="0F4761" w:themeColor="accent1" w:themeShade="BF"/>
      <w:spacing w:val="5"/>
    </w:rPr>
  </w:style>
  <w:style w:type="character" w:styleId="Hyperlink">
    <w:name w:val="Hyperlink"/>
    <w:basedOn w:val="DefaultParagraphFont"/>
    <w:uiPriority w:val="99"/>
    <w:unhideWhenUsed/>
    <w:rsid w:val="007A4501"/>
    <w:rPr>
      <w:color w:val="467886" w:themeColor="hyperlink"/>
      <w:u w:val="single"/>
    </w:rPr>
  </w:style>
  <w:style w:type="character" w:styleId="UnresolvedMention">
    <w:name w:val="Unresolved Mention"/>
    <w:basedOn w:val="DefaultParagraphFont"/>
    <w:uiPriority w:val="99"/>
    <w:semiHidden/>
    <w:unhideWhenUsed/>
    <w:rsid w:val="007A4501"/>
    <w:rPr>
      <w:color w:val="605E5C"/>
      <w:shd w:val="clear" w:color="auto" w:fill="E1DFDD"/>
    </w:rPr>
  </w:style>
  <w:style w:type="character" w:styleId="FollowedHyperlink">
    <w:name w:val="FollowedHyperlink"/>
    <w:basedOn w:val="DefaultParagraphFont"/>
    <w:uiPriority w:val="99"/>
    <w:semiHidden/>
    <w:unhideWhenUsed/>
    <w:rsid w:val="005E7C2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17570">
      <w:bodyDiv w:val="1"/>
      <w:marLeft w:val="0"/>
      <w:marRight w:val="0"/>
      <w:marTop w:val="0"/>
      <w:marBottom w:val="0"/>
      <w:divBdr>
        <w:top w:val="none" w:sz="0" w:space="0" w:color="auto"/>
        <w:left w:val="none" w:sz="0" w:space="0" w:color="auto"/>
        <w:bottom w:val="none" w:sz="0" w:space="0" w:color="auto"/>
        <w:right w:val="none" w:sz="0" w:space="0" w:color="auto"/>
      </w:divBdr>
    </w:div>
    <w:div w:id="135144217">
      <w:bodyDiv w:val="1"/>
      <w:marLeft w:val="0"/>
      <w:marRight w:val="0"/>
      <w:marTop w:val="0"/>
      <w:marBottom w:val="0"/>
      <w:divBdr>
        <w:top w:val="none" w:sz="0" w:space="0" w:color="auto"/>
        <w:left w:val="none" w:sz="0" w:space="0" w:color="auto"/>
        <w:bottom w:val="none" w:sz="0" w:space="0" w:color="auto"/>
        <w:right w:val="none" w:sz="0" w:space="0" w:color="auto"/>
      </w:divBdr>
    </w:div>
    <w:div w:id="254560191">
      <w:bodyDiv w:val="1"/>
      <w:marLeft w:val="0"/>
      <w:marRight w:val="0"/>
      <w:marTop w:val="0"/>
      <w:marBottom w:val="0"/>
      <w:divBdr>
        <w:top w:val="none" w:sz="0" w:space="0" w:color="auto"/>
        <w:left w:val="none" w:sz="0" w:space="0" w:color="auto"/>
        <w:bottom w:val="none" w:sz="0" w:space="0" w:color="auto"/>
        <w:right w:val="none" w:sz="0" w:space="0" w:color="auto"/>
      </w:divBdr>
    </w:div>
    <w:div w:id="291525495">
      <w:bodyDiv w:val="1"/>
      <w:marLeft w:val="0"/>
      <w:marRight w:val="0"/>
      <w:marTop w:val="0"/>
      <w:marBottom w:val="0"/>
      <w:divBdr>
        <w:top w:val="none" w:sz="0" w:space="0" w:color="auto"/>
        <w:left w:val="none" w:sz="0" w:space="0" w:color="auto"/>
        <w:bottom w:val="none" w:sz="0" w:space="0" w:color="auto"/>
        <w:right w:val="none" w:sz="0" w:space="0" w:color="auto"/>
      </w:divBdr>
    </w:div>
    <w:div w:id="783963270">
      <w:bodyDiv w:val="1"/>
      <w:marLeft w:val="0"/>
      <w:marRight w:val="0"/>
      <w:marTop w:val="0"/>
      <w:marBottom w:val="0"/>
      <w:divBdr>
        <w:top w:val="none" w:sz="0" w:space="0" w:color="auto"/>
        <w:left w:val="none" w:sz="0" w:space="0" w:color="auto"/>
        <w:bottom w:val="none" w:sz="0" w:space="0" w:color="auto"/>
        <w:right w:val="none" w:sz="0" w:space="0" w:color="auto"/>
      </w:divBdr>
      <w:divsChild>
        <w:div w:id="1705399625">
          <w:marLeft w:val="0"/>
          <w:marRight w:val="0"/>
          <w:marTop w:val="0"/>
          <w:marBottom w:val="0"/>
          <w:divBdr>
            <w:top w:val="none" w:sz="0" w:space="0" w:color="auto"/>
            <w:left w:val="none" w:sz="0" w:space="0" w:color="auto"/>
            <w:bottom w:val="none" w:sz="0" w:space="0" w:color="auto"/>
            <w:right w:val="none" w:sz="0" w:space="0" w:color="auto"/>
          </w:divBdr>
        </w:div>
        <w:div w:id="1903248328">
          <w:marLeft w:val="0"/>
          <w:marRight w:val="0"/>
          <w:marTop w:val="0"/>
          <w:marBottom w:val="0"/>
          <w:divBdr>
            <w:top w:val="none" w:sz="0" w:space="0" w:color="auto"/>
            <w:left w:val="none" w:sz="0" w:space="0" w:color="auto"/>
            <w:bottom w:val="none" w:sz="0" w:space="0" w:color="auto"/>
            <w:right w:val="none" w:sz="0" w:space="0" w:color="auto"/>
          </w:divBdr>
        </w:div>
        <w:div w:id="1572420230">
          <w:marLeft w:val="0"/>
          <w:marRight w:val="0"/>
          <w:marTop w:val="0"/>
          <w:marBottom w:val="0"/>
          <w:divBdr>
            <w:top w:val="none" w:sz="0" w:space="0" w:color="auto"/>
            <w:left w:val="none" w:sz="0" w:space="0" w:color="auto"/>
            <w:bottom w:val="none" w:sz="0" w:space="0" w:color="auto"/>
            <w:right w:val="none" w:sz="0" w:space="0" w:color="auto"/>
          </w:divBdr>
        </w:div>
      </w:divsChild>
    </w:div>
    <w:div w:id="858664589">
      <w:bodyDiv w:val="1"/>
      <w:marLeft w:val="0"/>
      <w:marRight w:val="0"/>
      <w:marTop w:val="0"/>
      <w:marBottom w:val="0"/>
      <w:divBdr>
        <w:top w:val="none" w:sz="0" w:space="0" w:color="auto"/>
        <w:left w:val="none" w:sz="0" w:space="0" w:color="auto"/>
        <w:bottom w:val="none" w:sz="0" w:space="0" w:color="auto"/>
        <w:right w:val="none" w:sz="0" w:space="0" w:color="auto"/>
      </w:divBdr>
    </w:div>
    <w:div w:id="948318656">
      <w:bodyDiv w:val="1"/>
      <w:marLeft w:val="0"/>
      <w:marRight w:val="0"/>
      <w:marTop w:val="0"/>
      <w:marBottom w:val="0"/>
      <w:divBdr>
        <w:top w:val="none" w:sz="0" w:space="0" w:color="auto"/>
        <w:left w:val="none" w:sz="0" w:space="0" w:color="auto"/>
        <w:bottom w:val="none" w:sz="0" w:space="0" w:color="auto"/>
        <w:right w:val="none" w:sz="0" w:space="0" w:color="auto"/>
      </w:divBdr>
    </w:div>
    <w:div w:id="994063287">
      <w:bodyDiv w:val="1"/>
      <w:marLeft w:val="0"/>
      <w:marRight w:val="0"/>
      <w:marTop w:val="0"/>
      <w:marBottom w:val="0"/>
      <w:divBdr>
        <w:top w:val="none" w:sz="0" w:space="0" w:color="auto"/>
        <w:left w:val="none" w:sz="0" w:space="0" w:color="auto"/>
        <w:bottom w:val="none" w:sz="0" w:space="0" w:color="auto"/>
        <w:right w:val="none" w:sz="0" w:space="0" w:color="auto"/>
      </w:divBdr>
    </w:div>
    <w:div w:id="1032463046">
      <w:bodyDiv w:val="1"/>
      <w:marLeft w:val="0"/>
      <w:marRight w:val="0"/>
      <w:marTop w:val="0"/>
      <w:marBottom w:val="0"/>
      <w:divBdr>
        <w:top w:val="none" w:sz="0" w:space="0" w:color="auto"/>
        <w:left w:val="none" w:sz="0" w:space="0" w:color="auto"/>
        <w:bottom w:val="none" w:sz="0" w:space="0" w:color="auto"/>
        <w:right w:val="none" w:sz="0" w:space="0" w:color="auto"/>
      </w:divBdr>
      <w:divsChild>
        <w:div w:id="437070736">
          <w:marLeft w:val="0"/>
          <w:marRight w:val="0"/>
          <w:marTop w:val="0"/>
          <w:marBottom w:val="0"/>
          <w:divBdr>
            <w:top w:val="none" w:sz="0" w:space="0" w:color="auto"/>
            <w:left w:val="none" w:sz="0" w:space="0" w:color="auto"/>
            <w:bottom w:val="none" w:sz="0" w:space="0" w:color="auto"/>
            <w:right w:val="none" w:sz="0" w:space="0" w:color="auto"/>
          </w:divBdr>
        </w:div>
        <w:div w:id="1425154716">
          <w:marLeft w:val="0"/>
          <w:marRight w:val="0"/>
          <w:marTop w:val="0"/>
          <w:marBottom w:val="0"/>
          <w:divBdr>
            <w:top w:val="none" w:sz="0" w:space="0" w:color="auto"/>
            <w:left w:val="none" w:sz="0" w:space="0" w:color="auto"/>
            <w:bottom w:val="none" w:sz="0" w:space="0" w:color="auto"/>
            <w:right w:val="none" w:sz="0" w:space="0" w:color="auto"/>
          </w:divBdr>
        </w:div>
        <w:div w:id="1323848491">
          <w:marLeft w:val="0"/>
          <w:marRight w:val="0"/>
          <w:marTop w:val="0"/>
          <w:marBottom w:val="0"/>
          <w:divBdr>
            <w:top w:val="none" w:sz="0" w:space="0" w:color="auto"/>
            <w:left w:val="none" w:sz="0" w:space="0" w:color="auto"/>
            <w:bottom w:val="none" w:sz="0" w:space="0" w:color="auto"/>
            <w:right w:val="none" w:sz="0" w:space="0" w:color="auto"/>
          </w:divBdr>
        </w:div>
      </w:divsChild>
    </w:div>
    <w:div w:id="1096903682">
      <w:bodyDiv w:val="1"/>
      <w:marLeft w:val="0"/>
      <w:marRight w:val="0"/>
      <w:marTop w:val="0"/>
      <w:marBottom w:val="0"/>
      <w:divBdr>
        <w:top w:val="none" w:sz="0" w:space="0" w:color="auto"/>
        <w:left w:val="none" w:sz="0" w:space="0" w:color="auto"/>
        <w:bottom w:val="none" w:sz="0" w:space="0" w:color="auto"/>
        <w:right w:val="none" w:sz="0" w:space="0" w:color="auto"/>
      </w:divBdr>
    </w:div>
    <w:div w:id="1144195168">
      <w:bodyDiv w:val="1"/>
      <w:marLeft w:val="0"/>
      <w:marRight w:val="0"/>
      <w:marTop w:val="0"/>
      <w:marBottom w:val="0"/>
      <w:divBdr>
        <w:top w:val="none" w:sz="0" w:space="0" w:color="auto"/>
        <w:left w:val="none" w:sz="0" w:space="0" w:color="auto"/>
        <w:bottom w:val="none" w:sz="0" w:space="0" w:color="auto"/>
        <w:right w:val="none" w:sz="0" w:space="0" w:color="auto"/>
      </w:divBdr>
    </w:div>
    <w:div w:id="1177579826">
      <w:bodyDiv w:val="1"/>
      <w:marLeft w:val="0"/>
      <w:marRight w:val="0"/>
      <w:marTop w:val="0"/>
      <w:marBottom w:val="0"/>
      <w:divBdr>
        <w:top w:val="none" w:sz="0" w:space="0" w:color="auto"/>
        <w:left w:val="none" w:sz="0" w:space="0" w:color="auto"/>
        <w:bottom w:val="none" w:sz="0" w:space="0" w:color="auto"/>
        <w:right w:val="none" w:sz="0" w:space="0" w:color="auto"/>
      </w:divBdr>
    </w:div>
    <w:div w:id="1196194993">
      <w:bodyDiv w:val="1"/>
      <w:marLeft w:val="0"/>
      <w:marRight w:val="0"/>
      <w:marTop w:val="0"/>
      <w:marBottom w:val="0"/>
      <w:divBdr>
        <w:top w:val="none" w:sz="0" w:space="0" w:color="auto"/>
        <w:left w:val="none" w:sz="0" w:space="0" w:color="auto"/>
        <w:bottom w:val="none" w:sz="0" w:space="0" w:color="auto"/>
        <w:right w:val="none" w:sz="0" w:space="0" w:color="auto"/>
      </w:divBdr>
    </w:div>
    <w:div w:id="1532953136">
      <w:bodyDiv w:val="1"/>
      <w:marLeft w:val="0"/>
      <w:marRight w:val="0"/>
      <w:marTop w:val="0"/>
      <w:marBottom w:val="0"/>
      <w:divBdr>
        <w:top w:val="none" w:sz="0" w:space="0" w:color="auto"/>
        <w:left w:val="none" w:sz="0" w:space="0" w:color="auto"/>
        <w:bottom w:val="none" w:sz="0" w:space="0" w:color="auto"/>
        <w:right w:val="none" w:sz="0" w:space="0" w:color="auto"/>
      </w:divBdr>
    </w:div>
    <w:div w:id="1560432956">
      <w:bodyDiv w:val="1"/>
      <w:marLeft w:val="0"/>
      <w:marRight w:val="0"/>
      <w:marTop w:val="0"/>
      <w:marBottom w:val="0"/>
      <w:divBdr>
        <w:top w:val="none" w:sz="0" w:space="0" w:color="auto"/>
        <w:left w:val="none" w:sz="0" w:space="0" w:color="auto"/>
        <w:bottom w:val="none" w:sz="0" w:space="0" w:color="auto"/>
        <w:right w:val="none" w:sz="0" w:space="0" w:color="auto"/>
      </w:divBdr>
    </w:div>
    <w:div w:id="1565067489">
      <w:bodyDiv w:val="1"/>
      <w:marLeft w:val="0"/>
      <w:marRight w:val="0"/>
      <w:marTop w:val="0"/>
      <w:marBottom w:val="0"/>
      <w:divBdr>
        <w:top w:val="none" w:sz="0" w:space="0" w:color="auto"/>
        <w:left w:val="none" w:sz="0" w:space="0" w:color="auto"/>
        <w:bottom w:val="none" w:sz="0" w:space="0" w:color="auto"/>
        <w:right w:val="none" w:sz="0" w:space="0" w:color="auto"/>
      </w:divBdr>
    </w:div>
    <w:div w:id="1671370273">
      <w:bodyDiv w:val="1"/>
      <w:marLeft w:val="0"/>
      <w:marRight w:val="0"/>
      <w:marTop w:val="0"/>
      <w:marBottom w:val="0"/>
      <w:divBdr>
        <w:top w:val="none" w:sz="0" w:space="0" w:color="auto"/>
        <w:left w:val="none" w:sz="0" w:space="0" w:color="auto"/>
        <w:bottom w:val="none" w:sz="0" w:space="0" w:color="auto"/>
        <w:right w:val="none" w:sz="0" w:space="0" w:color="auto"/>
      </w:divBdr>
    </w:div>
    <w:div w:id="1813280801">
      <w:bodyDiv w:val="1"/>
      <w:marLeft w:val="0"/>
      <w:marRight w:val="0"/>
      <w:marTop w:val="0"/>
      <w:marBottom w:val="0"/>
      <w:divBdr>
        <w:top w:val="none" w:sz="0" w:space="0" w:color="auto"/>
        <w:left w:val="none" w:sz="0" w:space="0" w:color="auto"/>
        <w:bottom w:val="none" w:sz="0" w:space="0" w:color="auto"/>
        <w:right w:val="none" w:sz="0" w:space="0" w:color="auto"/>
      </w:divBdr>
    </w:div>
    <w:div w:id="1861890069">
      <w:bodyDiv w:val="1"/>
      <w:marLeft w:val="0"/>
      <w:marRight w:val="0"/>
      <w:marTop w:val="0"/>
      <w:marBottom w:val="0"/>
      <w:divBdr>
        <w:top w:val="none" w:sz="0" w:space="0" w:color="auto"/>
        <w:left w:val="none" w:sz="0" w:space="0" w:color="auto"/>
        <w:bottom w:val="none" w:sz="0" w:space="0" w:color="auto"/>
        <w:right w:val="none" w:sz="0" w:space="0" w:color="auto"/>
      </w:divBdr>
    </w:div>
    <w:div w:id="1954945237">
      <w:bodyDiv w:val="1"/>
      <w:marLeft w:val="0"/>
      <w:marRight w:val="0"/>
      <w:marTop w:val="0"/>
      <w:marBottom w:val="0"/>
      <w:divBdr>
        <w:top w:val="none" w:sz="0" w:space="0" w:color="auto"/>
        <w:left w:val="none" w:sz="0" w:space="0" w:color="auto"/>
        <w:bottom w:val="none" w:sz="0" w:space="0" w:color="auto"/>
        <w:right w:val="none" w:sz="0" w:space="0" w:color="auto"/>
      </w:divBdr>
    </w:div>
    <w:div w:id="1958246962">
      <w:bodyDiv w:val="1"/>
      <w:marLeft w:val="0"/>
      <w:marRight w:val="0"/>
      <w:marTop w:val="0"/>
      <w:marBottom w:val="0"/>
      <w:divBdr>
        <w:top w:val="none" w:sz="0" w:space="0" w:color="auto"/>
        <w:left w:val="none" w:sz="0" w:space="0" w:color="auto"/>
        <w:bottom w:val="none" w:sz="0" w:space="0" w:color="auto"/>
        <w:right w:val="none" w:sz="0" w:space="0" w:color="auto"/>
      </w:divBdr>
    </w:div>
    <w:div w:id="1994405524">
      <w:bodyDiv w:val="1"/>
      <w:marLeft w:val="0"/>
      <w:marRight w:val="0"/>
      <w:marTop w:val="0"/>
      <w:marBottom w:val="0"/>
      <w:divBdr>
        <w:top w:val="none" w:sz="0" w:space="0" w:color="auto"/>
        <w:left w:val="none" w:sz="0" w:space="0" w:color="auto"/>
        <w:bottom w:val="none" w:sz="0" w:space="0" w:color="auto"/>
        <w:right w:val="none" w:sz="0" w:space="0" w:color="auto"/>
      </w:divBdr>
    </w:div>
    <w:div w:id="2045015866">
      <w:bodyDiv w:val="1"/>
      <w:marLeft w:val="0"/>
      <w:marRight w:val="0"/>
      <w:marTop w:val="0"/>
      <w:marBottom w:val="0"/>
      <w:divBdr>
        <w:top w:val="none" w:sz="0" w:space="0" w:color="auto"/>
        <w:left w:val="none" w:sz="0" w:space="0" w:color="auto"/>
        <w:bottom w:val="none" w:sz="0" w:space="0" w:color="auto"/>
        <w:right w:val="none" w:sz="0" w:space="0" w:color="auto"/>
      </w:divBdr>
      <w:divsChild>
        <w:div w:id="669329270">
          <w:marLeft w:val="547"/>
          <w:marRight w:val="0"/>
          <w:marTop w:val="0"/>
          <w:marBottom w:val="0"/>
          <w:divBdr>
            <w:top w:val="none" w:sz="0" w:space="0" w:color="auto"/>
            <w:left w:val="none" w:sz="0" w:space="0" w:color="auto"/>
            <w:bottom w:val="none" w:sz="0" w:space="0" w:color="auto"/>
            <w:right w:val="none" w:sz="0" w:space="0" w:color="auto"/>
          </w:divBdr>
        </w:div>
        <w:div w:id="264575913">
          <w:marLeft w:val="547"/>
          <w:marRight w:val="0"/>
          <w:marTop w:val="0"/>
          <w:marBottom w:val="0"/>
          <w:divBdr>
            <w:top w:val="none" w:sz="0" w:space="0" w:color="auto"/>
            <w:left w:val="none" w:sz="0" w:space="0" w:color="auto"/>
            <w:bottom w:val="none" w:sz="0" w:space="0" w:color="auto"/>
            <w:right w:val="none" w:sz="0" w:space="0" w:color="auto"/>
          </w:divBdr>
        </w:div>
        <w:div w:id="161790415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Lauseng, Deborah</dc:creator>
  <keywords/>
  <dc:description/>
  <lastModifiedBy>Deborah Lauseng</lastModifiedBy>
  <revision>4</revision>
  <lastPrinted>2025-06-30T22:20:00.0000000Z</lastPrinted>
  <dcterms:created xsi:type="dcterms:W3CDTF">2025-09-10T22:11:00.0000000Z</dcterms:created>
  <dcterms:modified xsi:type="dcterms:W3CDTF">2025-10-06T22:08:32.4045737Z</dcterms:modified>
</coreProperties>
</file>